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45463683"/>
        <w:docPartObj>
          <w:docPartGallery w:val="Cover Pages"/>
          <w:docPartUnique/>
        </w:docPartObj>
      </w:sdtPr>
      <w:sdtEndPr>
        <w:rPr>
          <w:rFonts w:ascii="Times New Roman" w:hAnsi="Times New Roman" w:cs="Times New Roman"/>
          <w:b/>
          <w:bCs/>
          <w:sz w:val="28"/>
          <w:szCs w:val="28"/>
        </w:rPr>
      </w:sdtEndPr>
      <w:sdtContent>
        <w:p w14:paraId="225D70AB" w14:textId="1B26F0CE" w:rsidR="00C84333" w:rsidRDefault="00C84333"/>
        <w:p w14:paraId="0ED1205B" w14:textId="6A9E8EE3" w:rsidR="00C84333" w:rsidRDefault="00C84333">
          <w:pPr>
            <w:rPr>
              <w:rFonts w:ascii="Times New Roman" w:hAnsi="Times New Roman" w:cs="Times New Roman"/>
              <w:b/>
              <w:bCs/>
              <w:sz w:val="28"/>
              <w:szCs w:val="28"/>
            </w:rPr>
          </w:pPr>
          <w:r>
            <w:rPr>
              <w:noProof/>
            </w:rPr>
            <mc:AlternateContent>
              <mc:Choice Requires="wps">
                <w:drawing>
                  <wp:anchor distT="0" distB="0" distL="182880" distR="182880" simplePos="0" relativeHeight="251660288" behindDoc="0" locked="0" layoutInCell="1" allowOverlap="1" wp14:anchorId="342EBF8D" wp14:editId="0F01D1EE">
                    <wp:simplePos x="0" y="0"/>
                    <wp:positionH relativeFrom="margin">
                      <wp:posOffset>-137795</wp:posOffset>
                    </wp:positionH>
                    <wp:positionV relativeFrom="page">
                      <wp:posOffset>4885690</wp:posOffset>
                    </wp:positionV>
                    <wp:extent cx="6343650" cy="4295775"/>
                    <wp:effectExtent l="0" t="0" r="0" b="9525"/>
                    <wp:wrapSquare wrapText="bothSides"/>
                    <wp:docPr id="131" name="Metin Kutusu 131"/>
                    <wp:cNvGraphicFramePr/>
                    <a:graphic xmlns:a="http://schemas.openxmlformats.org/drawingml/2006/main">
                      <a:graphicData uri="http://schemas.microsoft.com/office/word/2010/wordprocessingShape">
                        <wps:wsp>
                          <wps:cNvSpPr txBox="1"/>
                          <wps:spPr>
                            <a:xfrm>
                              <a:off x="0" y="0"/>
                              <a:ext cx="6343650" cy="429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09435" w14:textId="58D09AEF" w:rsidR="00C84333" w:rsidRDefault="00C84333">
                                <w:pPr>
                                  <w:pStyle w:val="AralkYok"/>
                                  <w:spacing w:before="40" w:after="560" w:line="216" w:lineRule="auto"/>
                                  <w:rPr>
                                    <w:color w:val="156082" w:themeColor="accent1"/>
                                    <w:sz w:val="72"/>
                                    <w:szCs w:val="72"/>
                                  </w:rPr>
                                </w:pPr>
                                <w:sdt>
                                  <w:sdtPr>
                                    <w:rPr>
                                      <w:color w:val="156082" w:themeColor="accent1"/>
                                      <w:sz w:val="72"/>
                                      <w:szCs w:val="72"/>
                                    </w:rPr>
                                    <w:alias w:val="Başlık"/>
                                    <w:tag w:val=""/>
                                    <w:id w:val="151731938"/>
                                    <w:dataBinding w:prefixMappings="xmlns:ns0='http://purl.org/dc/elements/1.1/' xmlns:ns1='http://schemas.openxmlformats.org/package/2006/metadata/core-properties' " w:xpath="/ns1:coreProperties[1]/ns0:title[1]" w:storeItemID="{6C3C8BC8-F283-45AE-878A-BAB7291924A1}"/>
                                    <w:text/>
                                  </w:sdtPr>
                                  <w:sdtContent>
                                    <w:r w:rsidRPr="00C84333">
                                      <w:rPr>
                                        <w:color w:val="156082" w:themeColor="accent1"/>
                                        <w:sz w:val="72"/>
                                        <w:szCs w:val="72"/>
                                      </w:rPr>
                                      <w:t>2025 Yılı Türkiye Ekonomisi Analizi: 2026 Yılı Hedef ve Beklentileri</w:t>
                                    </w:r>
                                  </w:sdtContent>
                                </w:sdt>
                              </w:p>
                              <w:p w14:paraId="60D209D5" w14:textId="77777777" w:rsidR="00C84333" w:rsidRPr="00C84333" w:rsidRDefault="00C84333" w:rsidP="00C84333">
                                <w:pPr>
                                  <w:pStyle w:val="AralkYok"/>
                                  <w:spacing w:before="40" w:after="40"/>
                                  <w:rPr>
                                    <w:caps/>
                                    <w:color w:val="501549" w:themeColor="accent5" w:themeShade="80"/>
                                    <w:sz w:val="28"/>
                                    <w:szCs w:val="28"/>
                                  </w:rPr>
                                </w:pPr>
                                <w:r w:rsidRPr="00C84333">
                                  <w:rPr>
                                    <w:caps/>
                                    <w:color w:val="501549" w:themeColor="accent5" w:themeShade="80"/>
                                    <w:sz w:val="28"/>
                                    <w:szCs w:val="28"/>
                                  </w:rPr>
                                  <w:t>Prof. Dr. Ali ALTINER</w:t>
                                </w:r>
                              </w:p>
                              <w:p w14:paraId="3F45E958" w14:textId="74D02590" w:rsidR="00C84333" w:rsidRDefault="00C84333" w:rsidP="00C84333">
                                <w:pPr>
                                  <w:pStyle w:val="AralkYok"/>
                                  <w:spacing w:before="40" w:after="40"/>
                                  <w:rPr>
                                    <w:caps/>
                                    <w:color w:val="A02B93" w:themeColor="accent5"/>
                                    <w:sz w:val="24"/>
                                    <w:szCs w:val="24"/>
                                  </w:rPr>
                                </w:pPr>
                                <w:r w:rsidRPr="00C84333">
                                  <w:rPr>
                                    <w:caps/>
                                    <w:color w:val="501549" w:themeColor="accent5" w:themeShade="80"/>
                                    <w:sz w:val="28"/>
                                    <w:szCs w:val="28"/>
                                  </w:rPr>
                                  <w:t>RTEÜ İktisat Bölüm Başkanı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2EBF8D" id="_x0000_t202" coordsize="21600,21600" o:spt="202" path="m,l,21600r21600,l21600,xe">
                    <v:stroke joinstyle="miter"/>
                    <v:path gradientshapeok="t" o:connecttype="rect"/>
                  </v:shapetype>
                  <v:shape id="Metin Kutusu 131" o:spid="_x0000_s1026" type="#_x0000_t202" style="position:absolute;margin-left:-10.85pt;margin-top:384.7pt;width:499.5pt;height:338.2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iWXQIAAC4FAAAOAAAAZHJzL2Uyb0RvYy54bWysVE1v2zAMvQ/YfxB0X51+b0GdImvRYUDR&#10;FmuHnhVZaozJokYxsbNfX0q2k67bpcMuMi2Sj+QjqbPzrnFibTDW4Eu5vzeRwngNVe2fSvn94erD&#10;RykiKV8pB96UcmOiPJ+9f3fWhqk5gCW4yqBgEB+nbSjlkihMiyLqpWlU3INgPCstYKOIf/GpqFC1&#10;jN644mAyOSlawCogaBMj3172SjnL+NYaTbfWRkPClZJzo3xiPhfpLGZnavqEKixrPaSh/iGLRtWe&#10;g26hLhUpscL6D6im1ggRLO1paAqwttYm18DV7E9eVXO/VMHkWpicGLY0xf8Hq2/W9+EOBXWfoeMG&#10;JkLaEKeRL1M9ncUmfTlTwXqmcLOlzXQkNF+eHB4dnhyzSrPu6ODT8enpccIpdu4BI30x0IgklBK5&#10;L5kutb6O1JuOJimah6vaudwb50WbQjD+bxoGdz7dmNzlAWaXepZo40yycf6bsaKucgXpIs+XuXAo&#10;1oonQ2ltPOXiMy5bJyvLSbzFcbDfZfUW576OMTJ42jo3tQfM1b9Ku/oxpmx7e+b8Rd1JpG7RDS1d&#10;QLXhTiP0SxCDvqq5G9cq0p1CnnruIG8y3fJhHTDrMEhSLAF//e0+2fMwslaKlreolPHnSqGRwn31&#10;PKZp5UYBR2ExCn7VXADTv89vRNBZZAckN4oWoXnkBZ+nKKxSXnOsUtIoXlC/y/xAaDOfZyNerKDo&#10;2t8HnaBTN9JsPXSPCsMwgMSzewPjfqnpqznsbZOnh/mKwNZ5SBOhPYsD0byUecyHByRt/cv/bLV7&#10;5mbPAAAA//8DAFBLAwQUAAYACAAAACEA7y4YjuIAAAAMAQAADwAAAGRycy9kb3ducmV2LnhtbEyP&#10;y07DMBBF90j8gzVI7FonJTQkxKkQjx2FtoAEOyc2SUQ8jmwnDX/PsILl6B7de6bYzKZnk3a+sygg&#10;XkbANNZWddgIeH15WFwB80Gikr1FLeBbe9iUpyeFzJU94l5Ph9AwKkGfSwFtCEPOua9bbaRf2kEj&#10;ZZ/WGRnodA1XTh6p3PR8FUVrbmSHtNDKQd+2uv46jEZA/+7dYxWFj+mu2YbdMx/f7uMnIc7P5ptr&#10;YEHP4Q+GX31Sh5KcKjui8qwXsFjFKaEC0nWWACMiS9MLYBWhSXKZAS8L/v+J8gcAAP//AwBQSwEC&#10;LQAUAAYACAAAACEAtoM4kv4AAADhAQAAEwAAAAAAAAAAAAAAAAAAAAAAW0NvbnRlbnRfVHlwZXNd&#10;LnhtbFBLAQItABQABgAIAAAAIQA4/SH/1gAAAJQBAAALAAAAAAAAAAAAAAAAAC8BAABfcmVscy8u&#10;cmVsc1BLAQItABQABgAIAAAAIQBsDziWXQIAAC4FAAAOAAAAAAAAAAAAAAAAAC4CAABkcnMvZTJv&#10;RG9jLnhtbFBLAQItABQABgAIAAAAIQDvLhiO4gAAAAwBAAAPAAAAAAAAAAAAAAAAALcEAABkcnMv&#10;ZG93bnJldi54bWxQSwUGAAAAAAQABADzAAAAxgUAAAAA&#10;" filled="f" stroked="f" strokeweight=".5pt">
                    <v:textbox inset="0,0,0,0">
                      <w:txbxContent>
                        <w:p w14:paraId="43909435" w14:textId="58D09AEF" w:rsidR="00C84333" w:rsidRDefault="00C84333">
                          <w:pPr>
                            <w:pStyle w:val="AralkYok"/>
                            <w:spacing w:before="40" w:after="560" w:line="216" w:lineRule="auto"/>
                            <w:rPr>
                              <w:color w:val="156082" w:themeColor="accent1"/>
                              <w:sz w:val="72"/>
                              <w:szCs w:val="72"/>
                            </w:rPr>
                          </w:pPr>
                          <w:sdt>
                            <w:sdtPr>
                              <w:rPr>
                                <w:color w:val="156082" w:themeColor="accent1"/>
                                <w:sz w:val="72"/>
                                <w:szCs w:val="72"/>
                              </w:rPr>
                              <w:alias w:val="Başlık"/>
                              <w:tag w:val=""/>
                              <w:id w:val="151731938"/>
                              <w:dataBinding w:prefixMappings="xmlns:ns0='http://purl.org/dc/elements/1.1/' xmlns:ns1='http://schemas.openxmlformats.org/package/2006/metadata/core-properties' " w:xpath="/ns1:coreProperties[1]/ns0:title[1]" w:storeItemID="{6C3C8BC8-F283-45AE-878A-BAB7291924A1}"/>
                              <w:text/>
                            </w:sdtPr>
                            <w:sdtContent>
                              <w:r w:rsidRPr="00C84333">
                                <w:rPr>
                                  <w:color w:val="156082" w:themeColor="accent1"/>
                                  <w:sz w:val="72"/>
                                  <w:szCs w:val="72"/>
                                </w:rPr>
                                <w:t>2025 Yılı Türkiye Ekonomisi Analizi: 2026 Yılı Hedef ve Beklentileri</w:t>
                              </w:r>
                            </w:sdtContent>
                          </w:sdt>
                        </w:p>
                        <w:p w14:paraId="60D209D5" w14:textId="77777777" w:rsidR="00C84333" w:rsidRPr="00C84333" w:rsidRDefault="00C84333" w:rsidP="00C84333">
                          <w:pPr>
                            <w:pStyle w:val="AralkYok"/>
                            <w:spacing w:before="40" w:after="40"/>
                            <w:rPr>
                              <w:caps/>
                              <w:color w:val="501549" w:themeColor="accent5" w:themeShade="80"/>
                              <w:sz w:val="28"/>
                              <w:szCs w:val="28"/>
                            </w:rPr>
                          </w:pPr>
                          <w:r w:rsidRPr="00C84333">
                            <w:rPr>
                              <w:caps/>
                              <w:color w:val="501549" w:themeColor="accent5" w:themeShade="80"/>
                              <w:sz w:val="28"/>
                              <w:szCs w:val="28"/>
                            </w:rPr>
                            <w:t>Prof. Dr. Ali ALTINER</w:t>
                          </w:r>
                        </w:p>
                        <w:p w14:paraId="3F45E958" w14:textId="74D02590" w:rsidR="00C84333" w:rsidRDefault="00C84333" w:rsidP="00C84333">
                          <w:pPr>
                            <w:pStyle w:val="AralkYok"/>
                            <w:spacing w:before="40" w:after="40"/>
                            <w:rPr>
                              <w:caps/>
                              <w:color w:val="A02B93" w:themeColor="accent5"/>
                              <w:sz w:val="24"/>
                              <w:szCs w:val="24"/>
                            </w:rPr>
                          </w:pPr>
                          <w:r w:rsidRPr="00C84333">
                            <w:rPr>
                              <w:caps/>
                              <w:color w:val="501549" w:themeColor="accent5" w:themeShade="80"/>
                              <w:sz w:val="28"/>
                              <w:szCs w:val="28"/>
                            </w:rPr>
                            <w:t>RTEÜ İktisat Bölüm Başkanı</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BCB3B3A" wp14:editId="3EAC149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Dikdörtgen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ıl"/>
                                  <w:tag w:val=""/>
                                  <w:id w:val="-785116381"/>
                                  <w:dataBinding w:prefixMappings="xmlns:ns0='http://schemas.microsoft.com/office/2006/coverPageProps' " w:xpath="/ns0:CoverPageProperties[1]/ns0:PublishDate[1]" w:storeItemID="{55AF091B-3C7A-41E3-B477-F2FDAA23CFDA}"/>
                                  <w:date w:fullDate="2026-01-01T00:00:00Z">
                                    <w:dateFormat w:val="yyyy"/>
                                    <w:lid w:val="tr-TR"/>
                                    <w:storeMappedDataAs w:val="dateTime"/>
                                    <w:calendar w:val="gregorian"/>
                                  </w:date>
                                </w:sdtPr>
                                <w:sdtContent>
                                  <w:p w14:paraId="74D1567F" w14:textId="36B3889F" w:rsidR="00C84333" w:rsidRDefault="00C84333">
                                    <w:pPr>
                                      <w:pStyle w:val="AralkYok"/>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BCB3B3A" id="Dikdörtgen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Yıl"/>
                            <w:tag w:val=""/>
                            <w:id w:val="-785116381"/>
                            <w:dataBinding w:prefixMappings="xmlns:ns0='http://schemas.microsoft.com/office/2006/coverPageProps' " w:xpath="/ns0:CoverPageProperties[1]/ns0:PublishDate[1]" w:storeItemID="{55AF091B-3C7A-41E3-B477-F2FDAA23CFDA}"/>
                            <w:date w:fullDate="2026-01-01T00:00:00Z">
                              <w:dateFormat w:val="yyyy"/>
                              <w:lid w:val="tr-TR"/>
                              <w:storeMappedDataAs w:val="dateTime"/>
                              <w:calendar w:val="gregorian"/>
                            </w:date>
                          </w:sdtPr>
                          <w:sdtContent>
                            <w:p w14:paraId="74D1567F" w14:textId="36B3889F" w:rsidR="00C84333" w:rsidRDefault="00C84333">
                              <w:pPr>
                                <w:pStyle w:val="AralkYok"/>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Pr>
              <w:rFonts w:ascii="Times New Roman" w:hAnsi="Times New Roman" w:cs="Times New Roman"/>
              <w:b/>
              <w:bCs/>
              <w:sz w:val="28"/>
              <w:szCs w:val="28"/>
            </w:rPr>
            <w:br w:type="page"/>
          </w:r>
        </w:p>
      </w:sdtContent>
    </w:sdt>
    <w:p w14:paraId="64AF0A24" w14:textId="15CDAF77" w:rsidR="00060ED3" w:rsidRDefault="00E61E04" w:rsidP="00245887">
      <w:pPr>
        <w:jc w:val="center"/>
        <w:rPr>
          <w:rFonts w:ascii="Times New Roman" w:hAnsi="Times New Roman" w:cs="Times New Roman"/>
          <w:b/>
          <w:bCs/>
          <w:sz w:val="28"/>
          <w:szCs w:val="28"/>
        </w:rPr>
      </w:pPr>
      <w:r w:rsidRPr="00E61E04">
        <w:rPr>
          <w:rFonts w:ascii="Times New Roman" w:hAnsi="Times New Roman" w:cs="Times New Roman"/>
          <w:b/>
          <w:bCs/>
          <w:sz w:val="28"/>
          <w:szCs w:val="28"/>
        </w:rPr>
        <w:lastRenderedPageBreak/>
        <w:t>2025 Yılı Türkiye Ekonomisi Analizi: 2026 Yılı Hedef ve Beklentileri</w:t>
      </w:r>
    </w:p>
    <w:p w14:paraId="1D24C7A8" w14:textId="77777777" w:rsidR="00E61E04" w:rsidRDefault="00E61E04" w:rsidP="00245887">
      <w:pPr>
        <w:jc w:val="center"/>
        <w:rPr>
          <w:rFonts w:ascii="Times New Roman" w:hAnsi="Times New Roman" w:cs="Times New Roman"/>
          <w:b/>
          <w:bCs/>
          <w:sz w:val="24"/>
          <w:szCs w:val="24"/>
        </w:rPr>
      </w:pPr>
    </w:p>
    <w:p w14:paraId="711DF5C8" w14:textId="77777777" w:rsidR="0042695F" w:rsidRPr="00C23855" w:rsidRDefault="0042695F" w:rsidP="0042695F">
      <w:pPr>
        <w:spacing w:after="0" w:line="360" w:lineRule="auto"/>
        <w:jc w:val="right"/>
        <w:rPr>
          <w:rFonts w:ascii="Times New Roman" w:hAnsi="Times New Roman" w:cs="Times New Roman"/>
          <w:sz w:val="24"/>
          <w:szCs w:val="24"/>
        </w:rPr>
      </w:pPr>
      <w:bookmarkStart w:id="0" w:name="_Hlk231992111"/>
      <w:r w:rsidRPr="00C23855">
        <w:rPr>
          <w:rFonts w:ascii="Times New Roman" w:hAnsi="Times New Roman" w:cs="Times New Roman"/>
          <w:sz w:val="24"/>
          <w:szCs w:val="24"/>
        </w:rPr>
        <w:t>Prof. Dr. Ali ALTINER</w:t>
      </w:r>
    </w:p>
    <w:p w14:paraId="256ADA77" w14:textId="77777777" w:rsidR="0042695F" w:rsidRDefault="0042695F" w:rsidP="0042695F">
      <w:pPr>
        <w:spacing w:after="0" w:line="360" w:lineRule="auto"/>
        <w:jc w:val="right"/>
        <w:rPr>
          <w:rFonts w:ascii="Times New Roman" w:hAnsi="Times New Roman" w:cs="Times New Roman"/>
          <w:sz w:val="24"/>
          <w:szCs w:val="24"/>
        </w:rPr>
      </w:pPr>
      <w:r w:rsidRPr="00C23855">
        <w:rPr>
          <w:rFonts w:ascii="Times New Roman" w:hAnsi="Times New Roman" w:cs="Times New Roman"/>
          <w:sz w:val="24"/>
          <w:szCs w:val="24"/>
        </w:rPr>
        <w:t>RTEÜ İktisat Bölüm Başkanı</w:t>
      </w:r>
    </w:p>
    <w:bookmarkEnd w:id="0"/>
    <w:p w14:paraId="24351FB9"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b/>
          <w:bCs/>
          <w:sz w:val="24"/>
          <w:szCs w:val="24"/>
        </w:rPr>
        <w:t>Giriş</w:t>
      </w:r>
    </w:p>
    <w:p w14:paraId="6362F1AC" w14:textId="12567C76" w:rsidR="0046380A" w:rsidRDefault="0046380A" w:rsidP="0028297D">
      <w:pPr>
        <w:jc w:val="both"/>
        <w:rPr>
          <w:rFonts w:ascii="Times New Roman" w:hAnsi="Times New Roman" w:cs="Times New Roman"/>
          <w:sz w:val="24"/>
          <w:szCs w:val="24"/>
        </w:rPr>
      </w:pPr>
      <w:r w:rsidRPr="0046380A">
        <w:rPr>
          <w:rFonts w:ascii="Times New Roman" w:hAnsi="Times New Roman" w:cs="Times New Roman"/>
          <w:sz w:val="24"/>
          <w:szCs w:val="24"/>
        </w:rPr>
        <w:t>2025 yılı, Türkiye ekonomisinin küresel ve yerel düzlemde çok katmanlı bir değişimden geçtiği, yapısal reformların meyvelerini vermeye başladığı ve makroekonomik istikrarın temel taşlarının yerine oturduğu kritik bir dönem olarak kayıtlara geçmiştir. Geçtiğimiz yıllarda yaşanan yüksek enflasyon ve bütçe üzerindeki olağanüstü yüklerin ardından, 2025 yılı rasyonel ekonomi politikalarıyla yatırımcı güveninin yeniden inşa edildiği bir "onarım ve istikrar" yılı olarak tamamlanmıştır.</w:t>
      </w:r>
      <w:r>
        <w:rPr>
          <w:rFonts w:ascii="Times New Roman" w:hAnsi="Times New Roman" w:cs="Times New Roman"/>
          <w:sz w:val="24"/>
          <w:szCs w:val="24"/>
        </w:rPr>
        <w:t xml:space="preserve"> A</w:t>
      </w:r>
      <w:r w:rsidRPr="0046380A">
        <w:rPr>
          <w:rFonts w:ascii="Times New Roman" w:hAnsi="Times New Roman" w:cs="Times New Roman"/>
          <w:sz w:val="24"/>
          <w:szCs w:val="24"/>
        </w:rPr>
        <w:t xml:space="preserve">ncak, 2025’in bu istikrarlı tablosu, 2026 yılına girişimizle birlikte yerini </w:t>
      </w:r>
      <w:r w:rsidRPr="0094336F">
        <w:rPr>
          <w:rFonts w:ascii="Times New Roman" w:hAnsi="Times New Roman" w:cs="Times New Roman"/>
          <w:sz w:val="24"/>
          <w:szCs w:val="24"/>
        </w:rPr>
        <w:t>"Savaşın Gölgesinde bir Küresel Ekonomi"</w:t>
      </w:r>
      <w:r w:rsidRPr="0046380A">
        <w:rPr>
          <w:rFonts w:ascii="Times New Roman" w:hAnsi="Times New Roman" w:cs="Times New Roman"/>
          <w:sz w:val="24"/>
          <w:szCs w:val="24"/>
        </w:rPr>
        <w:t xml:space="preserve"> gerçeğine bırakmıştır. Şubat 2026 sonunda Ortadoğu’da patlak veren ABD-İran savaşı, 2025'te tesis edilen makroekonomik dengeleri ciddi bir direnç testine tabi tutmaktadır. Bugün itibarıyla ekonomi yönetimi; enerji fiyatlarındaki dramatik sıçrama, Hürmüz Boğazı'ndaki tıkanıklık ve küresel büyümedeki 0,75 puanlık kayıp gibi "kinetik" risklerle mücadele etmektedir.</w:t>
      </w:r>
      <w:r>
        <w:rPr>
          <w:rFonts w:ascii="Times New Roman" w:hAnsi="Times New Roman" w:cs="Times New Roman"/>
          <w:sz w:val="24"/>
          <w:szCs w:val="24"/>
        </w:rPr>
        <w:t xml:space="preserve"> </w:t>
      </w:r>
      <w:r w:rsidRPr="0046380A">
        <w:rPr>
          <w:rFonts w:ascii="Times New Roman" w:hAnsi="Times New Roman" w:cs="Times New Roman"/>
          <w:sz w:val="24"/>
          <w:szCs w:val="24"/>
        </w:rPr>
        <w:t xml:space="preserve">Bu rapor, 2025'in üretim kapasitesinden iş gücü dinamiklerine kadar elde edilen kazanımlarını analiz ederken; 2026 yılı için belirlenen hedeflerin, bu yeni jeopolitik konjonktür ve </w:t>
      </w:r>
      <w:r w:rsidRPr="0094336F">
        <w:rPr>
          <w:rFonts w:ascii="Times New Roman" w:hAnsi="Times New Roman" w:cs="Times New Roman"/>
          <w:sz w:val="24"/>
          <w:szCs w:val="24"/>
        </w:rPr>
        <w:t>"</w:t>
      </w:r>
      <w:proofErr w:type="spellStart"/>
      <w:r w:rsidRPr="0094336F">
        <w:rPr>
          <w:rFonts w:ascii="Times New Roman" w:hAnsi="Times New Roman" w:cs="Times New Roman"/>
          <w:sz w:val="24"/>
          <w:szCs w:val="24"/>
        </w:rPr>
        <w:t>Trampmetre</w:t>
      </w:r>
      <w:proofErr w:type="spellEnd"/>
      <w:r w:rsidRPr="0094336F">
        <w:rPr>
          <w:rFonts w:ascii="Times New Roman" w:hAnsi="Times New Roman" w:cs="Times New Roman"/>
          <w:sz w:val="24"/>
          <w:szCs w:val="24"/>
        </w:rPr>
        <w:t>"</w:t>
      </w:r>
      <w:r w:rsidRPr="0046380A">
        <w:rPr>
          <w:rFonts w:ascii="Times New Roman" w:hAnsi="Times New Roman" w:cs="Times New Roman"/>
          <w:sz w:val="24"/>
          <w:szCs w:val="24"/>
        </w:rPr>
        <w:t xml:space="preserve"> olarak adlandırılan öngörülemez volatilite ışığında nasıl yeniden şekillendiğini makroekonomik bir perspektifle ortaya koymaktadır. Türkiye, 2025'in sağladığı mali disiplin ve güçlü rezerv yapısı sayesinde bu küresel fırtınayı yönetme kararlılığını sürdürmektedir.</w:t>
      </w:r>
    </w:p>
    <w:p w14:paraId="447B8470"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b/>
          <w:bCs/>
          <w:sz w:val="24"/>
          <w:szCs w:val="24"/>
        </w:rPr>
        <w:t>1. Üretim ve Büyüme Performansı</w:t>
      </w:r>
    </w:p>
    <w:p w14:paraId="51949567" w14:textId="77777777" w:rsidR="0028297D" w:rsidRPr="00930354" w:rsidRDefault="0028297D" w:rsidP="0028297D">
      <w:pPr>
        <w:jc w:val="both"/>
        <w:rPr>
          <w:rFonts w:ascii="Times New Roman" w:hAnsi="Times New Roman" w:cs="Times New Roman"/>
          <w:sz w:val="24"/>
          <w:szCs w:val="24"/>
        </w:rPr>
      </w:pPr>
      <w:r w:rsidRPr="00930354">
        <w:rPr>
          <w:rFonts w:ascii="Times New Roman" w:hAnsi="Times New Roman" w:cs="Times New Roman"/>
          <w:sz w:val="24"/>
          <w:szCs w:val="24"/>
        </w:rPr>
        <w:t>Türkiye ekonomisi, 2025 yılında zincirlenmiş hacim endeksi verilerine göre bir önceki yıla kıyasla yüzde 3,6 oranında bir büyüme kaydederek üretim gücünü korumuştur. Üretim yöntemine göre cari fiyatlarla hesaplanan Gayrisafi Yurt İçi Hasıla (GSYH), yüzde 41,3’lük bir artışla 63 trilyon 20 milyar 906 milyon TL seviyesine ulaşmıştır. Bu büyüme performansı neticesinde kişi başına düşen GSYH değeri cari fiyatlarla 712 bin 200 TL olurken, ABD doları cinsinden ise 18 bin 040 dolar olarak gerçekleşmiştir. Sektörel dinamikler incelendiğinde, inşaat sektörünün yüzde 10,8 ile en yüksek katma değer artışını sağladığı görülmektedir. Bunu yüzde 8,0 ile bilgi ve iletişim faaliyetleri, yüzde 4,6 ile ticaret, ulaştırma ve konaklama hizmetleri takip etmiştir. Sanayi sektörü yüzde 2,9 oranında sınırlı bir gelişim gösterirken, tarım, ormancılık ve balıkçılık sektörü yüzde 8,8 oranında bir daralma yaşayarak genel büyüme rakamlarını sınırlayan temel faktör olmuştur. Hizmetler sektörü ve inşaattaki canlılık, iç talebin nitelikli bir şekilde sürdüğünü kanıtlamaktadır.</w:t>
      </w:r>
    </w:p>
    <w:p w14:paraId="457F7D48" w14:textId="40CC56DF" w:rsidR="0046380A" w:rsidRPr="00930354" w:rsidRDefault="0046380A" w:rsidP="0046380A">
      <w:pPr>
        <w:jc w:val="both"/>
        <w:rPr>
          <w:rFonts w:ascii="Times New Roman" w:hAnsi="Times New Roman" w:cs="Times New Roman"/>
          <w:sz w:val="24"/>
          <w:szCs w:val="24"/>
        </w:rPr>
      </w:pPr>
      <w:r w:rsidRPr="00930354">
        <w:rPr>
          <w:rFonts w:ascii="Times New Roman" w:hAnsi="Times New Roman" w:cs="Times New Roman"/>
          <w:sz w:val="24"/>
          <w:szCs w:val="24"/>
        </w:rPr>
        <w:t xml:space="preserve">Resmi makamların Orta Vadeli Program (OVP 2026-2028) dokümanlarında başlangıçta 2026 yılı için büyüme hedefi %3,8 olarak belirlenmiş olsa </w:t>
      </w:r>
      <w:proofErr w:type="gramStart"/>
      <w:r w:rsidRPr="00930354">
        <w:rPr>
          <w:rFonts w:ascii="Times New Roman" w:hAnsi="Times New Roman" w:cs="Times New Roman"/>
          <w:sz w:val="24"/>
          <w:szCs w:val="24"/>
        </w:rPr>
        <w:t>da,</w:t>
      </w:r>
      <w:proofErr w:type="gramEnd"/>
      <w:r w:rsidRPr="00930354">
        <w:rPr>
          <w:rFonts w:ascii="Times New Roman" w:hAnsi="Times New Roman" w:cs="Times New Roman"/>
          <w:sz w:val="24"/>
          <w:szCs w:val="24"/>
        </w:rPr>
        <w:t xml:space="preserve"> 2026'nın ilk çeyreğinde patlak veren ABD-İran savaşı ve Hürmüz Boğazı'ndaki lojistik tıkanıklık, küresel büyümeden beklenen 0,75 puanlık kayıp ile birleşerek bu hedefleri "ihtiyatlı revizyon" noktasına taşımıştır. Savaşın arz zincirlerini kritik noktalardan kırması ve sanayi PMI verilerinin </w:t>
      </w:r>
      <w:proofErr w:type="gramStart"/>
      <w:r w:rsidRPr="00930354">
        <w:rPr>
          <w:rFonts w:ascii="Times New Roman" w:hAnsi="Times New Roman" w:cs="Times New Roman"/>
          <w:sz w:val="24"/>
          <w:szCs w:val="24"/>
        </w:rPr>
        <w:t>Mart</w:t>
      </w:r>
      <w:proofErr w:type="gramEnd"/>
      <w:r w:rsidRPr="00930354">
        <w:rPr>
          <w:rFonts w:ascii="Times New Roman" w:hAnsi="Times New Roman" w:cs="Times New Roman"/>
          <w:sz w:val="24"/>
          <w:szCs w:val="24"/>
        </w:rPr>
        <w:t xml:space="preserve"> ayında 47,9 seviyesine gerileyerek son 5 ayın en düşük değerini almasıyla birlikte, reel büyüme beklentileri %3 seviyelerine doğru aşağı yönlü baskılanmaya başlamıştır. Başlangıçta sanayinin GSYH içindeki payını yukarı çekmesi beklenen stratejik teşviklerin yerini, 1</w:t>
      </w:r>
      <w:r w:rsidR="00BA04A0" w:rsidRPr="00930354">
        <w:rPr>
          <w:rFonts w:ascii="Times New Roman" w:hAnsi="Times New Roman" w:cs="Times New Roman"/>
          <w:sz w:val="24"/>
          <w:szCs w:val="24"/>
        </w:rPr>
        <w:t>15</w:t>
      </w:r>
      <w:r w:rsidRPr="00930354">
        <w:rPr>
          <w:rFonts w:ascii="Times New Roman" w:hAnsi="Times New Roman" w:cs="Times New Roman"/>
          <w:sz w:val="24"/>
          <w:szCs w:val="24"/>
        </w:rPr>
        <w:t xml:space="preserve"> dolar seviyesine dayanan Brent </w:t>
      </w:r>
      <w:r w:rsidRPr="00930354">
        <w:rPr>
          <w:rFonts w:ascii="Times New Roman" w:hAnsi="Times New Roman" w:cs="Times New Roman"/>
          <w:sz w:val="24"/>
          <w:szCs w:val="24"/>
        </w:rPr>
        <w:lastRenderedPageBreak/>
        <w:t>petrol maliyetleri ve alüminyum gibi temel sanayi girdilerinde yaşanan tedarik krizi nedeniyle zorunlu bir "hasar tespit" süreci almıştır.</w:t>
      </w:r>
    </w:p>
    <w:p w14:paraId="4C346CA7" w14:textId="7B2561A8" w:rsidR="0028297D" w:rsidRPr="00930354" w:rsidRDefault="0046380A" w:rsidP="0028297D">
      <w:pPr>
        <w:jc w:val="both"/>
        <w:rPr>
          <w:rFonts w:ascii="Times New Roman" w:hAnsi="Times New Roman" w:cs="Times New Roman"/>
          <w:sz w:val="24"/>
          <w:szCs w:val="24"/>
        </w:rPr>
      </w:pPr>
      <w:r w:rsidRPr="00930354">
        <w:rPr>
          <w:rFonts w:ascii="Times New Roman" w:hAnsi="Times New Roman" w:cs="Times New Roman"/>
          <w:sz w:val="24"/>
          <w:szCs w:val="24"/>
        </w:rPr>
        <w:t xml:space="preserve">Cari fiyatlarla GSYH'nin 77 trilyon TL'yi aşması ve kişi başı gelirin 20 bin dolar sınırına yaklaşması vizyonu ekonomi yönetiminin masasında kalmaya devam etse </w:t>
      </w:r>
      <w:proofErr w:type="gramStart"/>
      <w:r w:rsidRPr="00930354">
        <w:rPr>
          <w:rFonts w:ascii="Times New Roman" w:hAnsi="Times New Roman" w:cs="Times New Roman"/>
          <w:sz w:val="24"/>
          <w:szCs w:val="24"/>
        </w:rPr>
        <w:t>de,</w:t>
      </w:r>
      <w:proofErr w:type="gramEnd"/>
      <w:r w:rsidRPr="00930354">
        <w:rPr>
          <w:rFonts w:ascii="Times New Roman" w:hAnsi="Times New Roman" w:cs="Times New Roman"/>
          <w:sz w:val="24"/>
          <w:szCs w:val="24"/>
        </w:rPr>
        <w:t xml:space="preserve"> bu makro hedeflere ulaşılması artık standart bir dezenflasyon sürecinden ziyade, "</w:t>
      </w:r>
      <w:proofErr w:type="spellStart"/>
      <w:r w:rsidRPr="00930354">
        <w:rPr>
          <w:rFonts w:ascii="Times New Roman" w:hAnsi="Times New Roman" w:cs="Times New Roman"/>
          <w:sz w:val="24"/>
          <w:szCs w:val="24"/>
        </w:rPr>
        <w:t>Trampmetre</w:t>
      </w:r>
      <w:proofErr w:type="spellEnd"/>
      <w:r w:rsidRPr="00930354">
        <w:rPr>
          <w:rFonts w:ascii="Times New Roman" w:hAnsi="Times New Roman" w:cs="Times New Roman"/>
          <w:sz w:val="24"/>
          <w:szCs w:val="24"/>
        </w:rPr>
        <w:t>" olarak adlandırılan jeopolitik risklerin proaktif yönetilmesine ve enerji şokunun üretim maliyetlerine olan geçişkenliğinin ne ölçüde sınırlanabileceğine doğrudan bağlı hale gelmiştir.</w:t>
      </w:r>
    </w:p>
    <w:p w14:paraId="12393383"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b/>
          <w:bCs/>
          <w:sz w:val="24"/>
          <w:szCs w:val="24"/>
        </w:rPr>
        <w:t>2. İşgücü Piyasasındaki Gelişmeler</w:t>
      </w:r>
    </w:p>
    <w:p w14:paraId="3779F132"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sz w:val="24"/>
          <w:szCs w:val="24"/>
        </w:rPr>
        <w:t xml:space="preserve">İşgücü piyasası 2025 yılında işsizlik oranlarındaki gerileme eğilimini kararlılıkla sürdürmüştür. </w:t>
      </w:r>
      <w:proofErr w:type="spellStart"/>
      <w:r w:rsidRPr="0028297D">
        <w:rPr>
          <w:rFonts w:ascii="Times New Roman" w:hAnsi="Times New Roman" w:cs="Times New Roman"/>
          <w:sz w:val="24"/>
          <w:szCs w:val="24"/>
        </w:rPr>
        <w:t>Hanehalkı</w:t>
      </w:r>
      <w:proofErr w:type="spellEnd"/>
      <w:r w:rsidRPr="0028297D">
        <w:rPr>
          <w:rFonts w:ascii="Times New Roman" w:hAnsi="Times New Roman" w:cs="Times New Roman"/>
          <w:sz w:val="24"/>
          <w:szCs w:val="24"/>
        </w:rPr>
        <w:t xml:space="preserve"> İşgücü Araştırması sonuçlarına göre, 15 ve daha yukarı yaştaki kişilerde işsiz sayısı bir önceki yıla göre 147 bin kişi azalarak 2 milyon 966 bin kişiye düşmüştür. Bu veriler ışığında işsizlik oranı 0,4 puanlık bir iyileşmeyle yüzde 8,3 seviyesinde gerçekleşmiştir. İstihdam edilenlerin sayısı 32 milyon 566 bin kişi olurken, istihdam oranı yüzde 49,0 olarak kaydedilmiştir. Cinsiyet bazlı bakıldığında, işsizlik oranının erkeklerde yüzde 6,8, kadınlarda ise yüzde 11,3 olduğu tahmin edilmiştir. Genç nüfusun (15-24 yaş) işgücü piyasasına entegrasyonunda da olumlu adımlar atılmış ve bu gruptaki işsizlik oranı 1,0 puanlık azalışla yüzde 15,3’e gerilemiştir. İşgücüne katılma oranı ise yüzde 53,5 olarak gerçekleşmiştir.</w:t>
      </w:r>
    </w:p>
    <w:p w14:paraId="5C26E560" w14:textId="26274CC2" w:rsidR="0028297D" w:rsidRPr="0028297D" w:rsidRDefault="00172266" w:rsidP="0028297D">
      <w:pPr>
        <w:jc w:val="both"/>
        <w:rPr>
          <w:rFonts w:ascii="Times New Roman" w:hAnsi="Times New Roman" w:cs="Times New Roman"/>
          <w:sz w:val="24"/>
          <w:szCs w:val="24"/>
        </w:rPr>
      </w:pPr>
      <w:r w:rsidRPr="00D869E7">
        <w:rPr>
          <w:rFonts w:ascii="Times New Roman" w:hAnsi="Times New Roman" w:cs="Times New Roman"/>
          <w:sz w:val="24"/>
          <w:szCs w:val="24"/>
        </w:rPr>
        <w:t xml:space="preserve">Resmi otoriteler, 2026 yılında da işsizlik oranının tek haneli seviyelerde kalmaya devam edeceğini öngörmektedir. OVP hedefleri çerçevesinde 2026 yılı sonu itibarıyla işsizlik oranının yüzde 8,4 seviyelerinde dengelenmesi, istihdamın ise 33,3 milyon kişiye ulaşması hedeflenmektedir. Ancak, Mart-Nisan 2026 döneminde yoğunlaşan jeopolitik riskler ve sanayi üretimindeki yavaşlama emareleri, bu hedefler üzerinde aşağı yönlü bir baskı oluşturmaktadır. Sanayi PMI verilerindeki gerilemeye paralel olarak, istihdam yaratma hızının </w:t>
      </w:r>
      <w:proofErr w:type="gramStart"/>
      <w:r w:rsidRPr="00D869E7">
        <w:rPr>
          <w:rFonts w:ascii="Times New Roman" w:hAnsi="Times New Roman" w:cs="Times New Roman"/>
          <w:sz w:val="24"/>
          <w:szCs w:val="24"/>
        </w:rPr>
        <w:t>Mart</w:t>
      </w:r>
      <w:proofErr w:type="gramEnd"/>
      <w:r w:rsidRPr="00D869E7">
        <w:rPr>
          <w:rFonts w:ascii="Times New Roman" w:hAnsi="Times New Roman" w:cs="Times New Roman"/>
          <w:sz w:val="24"/>
          <w:szCs w:val="24"/>
        </w:rPr>
        <w:t xml:space="preserve"> ayı itibarıyla sınırlı kaldığı ve atıl iş gücü oranının yüzde 29,9 seviyesine dayandığı gözlemlenmektedir. Bu konjonktürde, dijital ve yeşil dönüşümün gerektirdiği yeni yetkinliklere sahip iş gücünün yetiştirilmesi stratejik önemini korurken; Mesleki Eği</w:t>
      </w:r>
      <w:r w:rsidRPr="00172266">
        <w:rPr>
          <w:rFonts w:ascii="Times New Roman" w:hAnsi="Times New Roman" w:cs="Times New Roman"/>
          <w:sz w:val="24"/>
          <w:szCs w:val="24"/>
        </w:rPr>
        <w:t>tim Merkezleri ve İŞKUR teşviklerinin, özellikle savaş kaynaklı maliyet baskısı altındaki sektörlerde istihdam kaybını önleyici bir "sosyal emniyet kemeri" işlevi görmesi planlanmaktadır. 2026 istihdam politikaları, iş gücü verimliliğindeki artışı büyüme hedefleriyle paralel tutmaya odaklanırken, bölgesel ticaret odaları ve sanayi tesisleri üzerinden yürütülen yetkinlik bazlı programların "hasar tespit" süreci sonrası ekonomik toparlanmaya kinetik enerji sağlaması beklenmektedir</w:t>
      </w:r>
      <w:r w:rsidR="0028297D" w:rsidRPr="0028297D">
        <w:rPr>
          <w:rFonts w:ascii="Times New Roman" w:hAnsi="Times New Roman" w:cs="Times New Roman"/>
          <w:sz w:val="24"/>
          <w:szCs w:val="24"/>
        </w:rPr>
        <w:t>.</w:t>
      </w:r>
    </w:p>
    <w:p w14:paraId="5B3A8863"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b/>
          <w:bCs/>
          <w:sz w:val="24"/>
          <w:szCs w:val="24"/>
        </w:rPr>
        <w:t>3. Fiyat İstikrarı ve Para Politikası</w:t>
      </w:r>
    </w:p>
    <w:p w14:paraId="6F8F291C"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sz w:val="24"/>
          <w:szCs w:val="24"/>
        </w:rPr>
        <w:t xml:space="preserve">2025 yılı, fiyat istikrarının tesisi yolunda en somut sonuçların alındığı yıl olmuştur. Tüketici Fiyat Endeksi (TÜFE), </w:t>
      </w:r>
      <w:proofErr w:type="gramStart"/>
      <w:r w:rsidRPr="0028297D">
        <w:rPr>
          <w:rFonts w:ascii="Times New Roman" w:hAnsi="Times New Roman" w:cs="Times New Roman"/>
          <w:sz w:val="24"/>
          <w:szCs w:val="24"/>
        </w:rPr>
        <w:t>Aralık</w:t>
      </w:r>
      <w:proofErr w:type="gramEnd"/>
      <w:r w:rsidRPr="0028297D">
        <w:rPr>
          <w:rFonts w:ascii="Times New Roman" w:hAnsi="Times New Roman" w:cs="Times New Roman"/>
          <w:sz w:val="24"/>
          <w:szCs w:val="24"/>
        </w:rPr>
        <w:t xml:space="preserve"> ayı itibarıyla yıllık yüzde 30,89 artış göstererek bir önceki yılın aynı dönemindeki yüzde 44,38 seviyesine göre belirgin bir yavaşlama sergilemiştir. Aylık bazdaki artışın </w:t>
      </w:r>
      <w:proofErr w:type="gramStart"/>
      <w:r w:rsidRPr="0028297D">
        <w:rPr>
          <w:rFonts w:ascii="Times New Roman" w:hAnsi="Times New Roman" w:cs="Times New Roman"/>
          <w:sz w:val="24"/>
          <w:szCs w:val="24"/>
        </w:rPr>
        <w:t>Aralık</w:t>
      </w:r>
      <w:proofErr w:type="gramEnd"/>
      <w:r w:rsidRPr="0028297D">
        <w:rPr>
          <w:rFonts w:ascii="Times New Roman" w:hAnsi="Times New Roman" w:cs="Times New Roman"/>
          <w:sz w:val="24"/>
          <w:szCs w:val="24"/>
        </w:rPr>
        <w:t xml:space="preserve"> ayında yüzde 0,89 seviyesinde kalması, enflasyonun ana eğilimindeki iyileşmeyi teyit etmiştir. Para politikası tarafında ise Türkiye Cumhuriyet Merkez Bankası’nın (TCMB) brüt uluslararası rezervleri 5 Aralık itibarıyla 186,4 milyar ABD doları seviyesine yükselerek tarihi zirvelerini zorlamıştır. Aynı zamanda Türkiye’nin 5 yıllık kredi risk primi (CDS), 10 Aralık itibarıyla 226 baz puan seviyesine kadar gerileyerek uluslararası piyasalardaki güven tazeleme sürecini somutlaştırmıştır.</w:t>
      </w:r>
    </w:p>
    <w:p w14:paraId="62290DA2" w14:textId="216DCB12" w:rsidR="0028297D" w:rsidRPr="0028297D" w:rsidRDefault="0034205A" w:rsidP="0028297D">
      <w:pPr>
        <w:jc w:val="both"/>
        <w:rPr>
          <w:rFonts w:ascii="Times New Roman" w:hAnsi="Times New Roman" w:cs="Times New Roman"/>
          <w:sz w:val="24"/>
          <w:szCs w:val="24"/>
        </w:rPr>
      </w:pPr>
      <w:r w:rsidRPr="0034205A">
        <w:rPr>
          <w:rFonts w:ascii="Times New Roman" w:hAnsi="Times New Roman" w:cs="Times New Roman"/>
          <w:sz w:val="24"/>
          <w:szCs w:val="24"/>
        </w:rPr>
        <w:t xml:space="preserve">TCMB’nin resmi enflasyon raporlarında 2026 yılı için başlangıçta belirlenen yıl sonu ara hedefi %16 (tahmin aralığı %15-21) olsa </w:t>
      </w:r>
      <w:proofErr w:type="gramStart"/>
      <w:r w:rsidRPr="0034205A">
        <w:rPr>
          <w:rFonts w:ascii="Times New Roman" w:hAnsi="Times New Roman" w:cs="Times New Roman"/>
          <w:sz w:val="24"/>
          <w:szCs w:val="24"/>
        </w:rPr>
        <w:t>da,</w:t>
      </w:r>
      <w:proofErr w:type="gramEnd"/>
      <w:r w:rsidRPr="0034205A">
        <w:rPr>
          <w:rFonts w:ascii="Times New Roman" w:hAnsi="Times New Roman" w:cs="Times New Roman"/>
          <w:sz w:val="24"/>
          <w:szCs w:val="24"/>
        </w:rPr>
        <w:t xml:space="preserve"> İran-ABD savaşı bu projeksiyonları radikal bir şekilde </w:t>
      </w:r>
      <w:r w:rsidRPr="0034205A">
        <w:rPr>
          <w:rFonts w:ascii="Times New Roman" w:hAnsi="Times New Roman" w:cs="Times New Roman"/>
          <w:sz w:val="24"/>
          <w:szCs w:val="24"/>
        </w:rPr>
        <w:lastRenderedPageBreak/>
        <w:t>güncellemiştir. Brent petrol</w:t>
      </w:r>
      <w:r w:rsidR="0079130D">
        <w:rPr>
          <w:rFonts w:ascii="Times New Roman" w:hAnsi="Times New Roman" w:cs="Times New Roman"/>
          <w:sz w:val="24"/>
          <w:szCs w:val="24"/>
        </w:rPr>
        <w:t xml:space="preserve"> fiyatının</w:t>
      </w:r>
      <w:r w:rsidRPr="0034205A">
        <w:rPr>
          <w:rFonts w:ascii="Times New Roman" w:hAnsi="Times New Roman" w:cs="Times New Roman"/>
          <w:sz w:val="24"/>
          <w:szCs w:val="24"/>
        </w:rPr>
        <w:t xml:space="preserve"> </w:t>
      </w:r>
      <w:r w:rsidR="0079130D">
        <w:rPr>
          <w:rFonts w:ascii="Times New Roman" w:hAnsi="Times New Roman" w:cs="Times New Roman"/>
          <w:sz w:val="24"/>
          <w:szCs w:val="24"/>
        </w:rPr>
        <w:t>hızla yükselmesi</w:t>
      </w:r>
      <w:r w:rsidRPr="0034205A">
        <w:rPr>
          <w:rFonts w:ascii="Times New Roman" w:hAnsi="Times New Roman" w:cs="Times New Roman"/>
          <w:sz w:val="24"/>
          <w:szCs w:val="24"/>
        </w:rPr>
        <w:t xml:space="preserve"> ve Hürmüz Boğazı'ndaki lojistik tıkanıklık, maliyet kanalıyla yeni bir fiyat baskısı oluşturmuştur. Bu dışsal şokların etkisiyle, </w:t>
      </w:r>
      <w:proofErr w:type="gramStart"/>
      <w:r w:rsidRPr="0034205A">
        <w:rPr>
          <w:rFonts w:ascii="Times New Roman" w:hAnsi="Times New Roman" w:cs="Times New Roman"/>
          <w:sz w:val="24"/>
          <w:szCs w:val="24"/>
        </w:rPr>
        <w:t>%16</w:t>
      </w:r>
      <w:proofErr w:type="gramEnd"/>
      <w:r w:rsidRPr="0034205A">
        <w:rPr>
          <w:rFonts w:ascii="Times New Roman" w:hAnsi="Times New Roman" w:cs="Times New Roman"/>
          <w:sz w:val="24"/>
          <w:szCs w:val="24"/>
        </w:rPr>
        <w:t xml:space="preserve"> olan yıl sonu enflasyon beklentileri yukarı yönlü revize edilerek yeniden %29-30 seviyesine </w:t>
      </w:r>
      <w:proofErr w:type="spellStart"/>
      <w:r w:rsidRPr="0034205A">
        <w:rPr>
          <w:rFonts w:ascii="Times New Roman" w:hAnsi="Times New Roman" w:cs="Times New Roman"/>
          <w:sz w:val="24"/>
          <w:szCs w:val="24"/>
        </w:rPr>
        <w:t>çıpalanmıştır</w:t>
      </w:r>
      <w:proofErr w:type="spellEnd"/>
      <w:r>
        <w:rPr>
          <w:rFonts w:ascii="Times New Roman" w:hAnsi="Times New Roman" w:cs="Times New Roman"/>
          <w:sz w:val="24"/>
          <w:szCs w:val="24"/>
        </w:rPr>
        <w:t>.</w:t>
      </w:r>
      <w:r w:rsidRPr="00D87A25">
        <w:rPr>
          <w:rFonts w:ascii="Times New Roman" w:hAnsi="Times New Roman" w:cs="Times New Roman"/>
          <w:sz w:val="24"/>
          <w:szCs w:val="24"/>
        </w:rPr>
        <w:t xml:space="preserve"> Mart 2026 verilerine yansıyan ulaştırma grubundaki %4,52 ve ÜFE petrol türevlerindeki %47,1’lik </w:t>
      </w:r>
      <w:r w:rsidRPr="0034205A">
        <w:rPr>
          <w:rFonts w:ascii="Times New Roman" w:hAnsi="Times New Roman" w:cs="Times New Roman"/>
          <w:sz w:val="24"/>
          <w:szCs w:val="24"/>
        </w:rPr>
        <w:t>rekor aylık artışlar, dezenflasyon sürecinin başarısını sadece geleneksel likidite yönetimi araçlarına değil, enerji şokunun bütçe üzerindeki yükünün proaktif yönetimine bağlı kılmıştır.</w:t>
      </w:r>
      <w:r>
        <w:rPr>
          <w:rFonts w:ascii="Times New Roman" w:hAnsi="Times New Roman" w:cs="Times New Roman"/>
          <w:sz w:val="24"/>
          <w:szCs w:val="24"/>
        </w:rPr>
        <w:t xml:space="preserve"> </w:t>
      </w:r>
    </w:p>
    <w:p w14:paraId="5BFCE06F"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b/>
          <w:bCs/>
          <w:sz w:val="24"/>
          <w:szCs w:val="24"/>
        </w:rPr>
        <w:t>4. Kamu Maliyesi ve Bütçe Dengesi</w:t>
      </w:r>
    </w:p>
    <w:p w14:paraId="0F3AE156" w14:textId="01341776"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sz w:val="24"/>
          <w:szCs w:val="24"/>
        </w:rPr>
        <w:t>Kamu maliyesi tarafında, geçmiş dönemdeki olağanüstü harcamaların etkilerinin yönetilmesi ve bütçe disiplininin yeniden tesisi ön planda yer almıştır. 2025 yılı merkezi yönetim bütçesi, harcama disiplini ve etkin gelir politikaları neticesinde 1 trilyon 799 milyar TL bütçe açığı ile tamamlanmıştır. Toplam bütçe giderleri 14,6 trilyon TL olurken, bütçe gelirleri 12,8 trilyon TL seviyesine ulaşarak hedeflenen sınırlar içerisinde kalmıştır. Bütçe dengesindeki en dikkat çekici veri, 255,3 milyar TL tutarındaki faiz dışı fazla olmuştur. Bu durum, kamu maliyesinin temel dengelerinde yapısal bir iyileşme olduğunu ve borç sürdürülebilirliğinin güçlendiğini somut bir şekilde göstermektedir. Vergi tahsilatındaki dijitalleşme ve kayıt dışılıkla mücadele adımları, bütçe gelirlerinin tabana yayılmasını ve kamu maliyesinin direncini artırmıştır. Tasarruf tedbirleri kapsamında verimsiz harcamaların kısıtlanması, kısıtlı mali kaynakların daha stratejik ve yüksek katma değerli yatırımlara kaydırılmasına olanak tan</w:t>
      </w:r>
      <w:r w:rsidR="00C3559C">
        <w:rPr>
          <w:rFonts w:ascii="Times New Roman" w:hAnsi="Times New Roman" w:cs="Times New Roman"/>
          <w:sz w:val="24"/>
          <w:szCs w:val="24"/>
        </w:rPr>
        <w:t>ı</w:t>
      </w:r>
      <w:r w:rsidRPr="0028297D">
        <w:rPr>
          <w:rFonts w:ascii="Times New Roman" w:hAnsi="Times New Roman" w:cs="Times New Roman"/>
          <w:sz w:val="24"/>
          <w:szCs w:val="24"/>
        </w:rPr>
        <w:t>mıştır. Kamu borç stokunun GSYH'ye oranı makul seviyelerde tutulmuş, bu da uluslararası kredi derecelendirme kuruluşlarının not görünümlerini olumlu etkilemiştir.</w:t>
      </w:r>
    </w:p>
    <w:p w14:paraId="60E36001" w14:textId="4BE78281"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sz w:val="24"/>
          <w:szCs w:val="24"/>
        </w:rPr>
        <w:t xml:space="preserve">2026 yılı bütçe hazırlıklarında ve OVP hedeflerinde, bütçe açığının GSYH'ye oranının yüzde </w:t>
      </w:r>
      <w:r w:rsidR="00AF72B0">
        <w:rPr>
          <w:rFonts w:ascii="Times New Roman" w:hAnsi="Times New Roman" w:cs="Times New Roman"/>
          <w:sz w:val="24"/>
          <w:szCs w:val="24"/>
        </w:rPr>
        <w:t xml:space="preserve">2,7 </w:t>
      </w:r>
      <w:r w:rsidR="00F31455">
        <w:rPr>
          <w:rFonts w:ascii="Times New Roman" w:hAnsi="Times New Roman" w:cs="Times New Roman"/>
          <w:sz w:val="24"/>
          <w:szCs w:val="24"/>
        </w:rPr>
        <w:t xml:space="preserve">trilyon </w:t>
      </w:r>
      <w:r w:rsidR="00AF72B0">
        <w:rPr>
          <w:rFonts w:ascii="Times New Roman" w:hAnsi="Times New Roman" w:cs="Times New Roman"/>
          <w:sz w:val="24"/>
          <w:szCs w:val="24"/>
        </w:rPr>
        <w:t>TL</w:t>
      </w:r>
      <w:r w:rsidRPr="0028297D">
        <w:rPr>
          <w:rFonts w:ascii="Times New Roman" w:hAnsi="Times New Roman" w:cs="Times New Roman"/>
          <w:sz w:val="24"/>
          <w:szCs w:val="24"/>
        </w:rPr>
        <w:t xml:space="preserve"> seviyesine indirilmesi temel amaçtır. </w:t>
      </w:r>
      <w:r w:rsidR="00AF72B0" w:rsidRPr="00AF72B0">
        <w:rPr>
          <w:rFonts w:ascii="Times New Roman" w:hAnsi="Times New Roman" w:cs="Times New Roman"/>
          <w:sz w:val="24"/>
          <w:szCs w:val="24"/>
        </w:rPr>
        <w:t xml:space="preserve">Bütçe açığının GSYH'ye oranının yüzde 3,5 seviyesinde tutulması temel amaçtır. </w:t>
      </w:r>
      <w:r w:rsidRPr="0028297D">
        <w:rPr>
          <w:rFonts w:ascii="Times New Roman" w:hAnsi="Times New Roman" w:cs="Times New Roman"/>
          <w:sz w:val="24"/>
          <w:szCs w:val="24"/>
        </w:rPr>
        <w:t xml:space="preserve">Kamu harcamalarında etkinliğin artırılması ve deprem kaynaklı rehabilitasyon harcamalarının bütçe üzerindeki yükünün azalmasıyla birlikte, kamu maliyesinin dezenflasyon sürecine mali disiplin kanalıyla verdiği desteğin 2026'da zirveye ulaşması planlanmaktadır. 2026 yılı </w:t>
      </w:r>
      <w:r w:rsidR="00F31455">
        <w:rPr>
          <w:rFonts w:ascii="Times New Roman" w:hAnsi="Times New Roman" w:cs="Times New Roman"/>
          <w:sz w:val="24"/>
          <w:szCs w:val="24"/>
        </w:rPr>
        <w:t xml:space="preserve">genel devlet </w:t>
      </w:r>
      <w:r w:rsidRPr="0028297D">
        <w:rPr>
          <w:rFonts w:ascii="Times New Roman" w:hAnsi="Times New Roman" w:cs="Times New Roman"/>
          <w:sz w:val="24"/>
          <w:szCs w:val="24"/>
        </w:rPr>
        <w:t xml:space="preserve">gelirlerinin </w:t>
      </w:r>
      <w:r w:rsidR="00F31455">
        <w:rPr>
          <w:rFonts w:ascii="Times New Roman" w:hAnsi="Times New Roman" w:cs="Times New Roman"/>
          <w:sz w:val="24"/>
          <w:szCs w:val="24"/>
        </w:rPr>
        <w:t>25,6</w:t>
      </w:r>
      <w:r w:rsidRPr="0028297D">
        <w:rPr>
          <w:rFonts w:ascii="Times New Roman" w:hAnsi="Times New Roman" w:cs="Times New Roman"/>
          <w:sz w:val="24"/>
          <w:szCs w:val="24"/>
        </w:rPr>
        <w:t xml:space="preserve"> trilyon TL seviyesine yükselmesi öngörülürken, faiz dışı fazlanın GSYH'ye oranının pozitif bölgede tutulması hedeflenmektedir. </w:t>
      </w:r>
      <w:r w:rsidR="007E4B35" w:rsidRPr="007E4B35">
        <w:rPr>
          <w:rFonts w:ascii="Times New Roman" w:hAnsi="Times New Roman" w:cs="Times New Roman"/>
          <w:sz w:val="24"/>
          <w:szCs w:val="24"/>
        </w:rPr>
        <w:t>Ancak, Nisan 2026 itibarıyla Ortadoğu'da derinleşen savaş iklimi, bu disiplinli tabloyu "vergi freni" ve "maliyet yönetimi" ekseninde yeni bir sınavla karşı karşıya bırakmıştır. Özellikle enerji fiyatlarındaki sıçramayı göğüslemek adına devreye alınan</w:t>
      </w:r>
      <w:r w:rsidR="007E4B35" w:rsidRPr="00AC6177">
        <w:rPr>
          <w:rFonts w:ascii="Times New Roman" w:hAnsi="Times New Roman" w:cs="Times New Roman"/>
          <w:sz w:val="24"/>
          <w:szCs w:val="24"/>
        </w:rPr>
        <w:t xml:space="preserve"> </w:t>
      </w:r>
      <w:proofErr w:type="spellStart"/>
      <w:r w:rsidR="007E4B35" w:rsidRPr="00AC6177">
        <w:rPr>
          <w:rFonts w:ascii="Times New Roman" w:hAnsi="Times New Roman" w:cs="Times New Roman"/>
          <w:sz w:val="24"/>
          <w:szCs w:val="24"/>
        </w:rPr>
        <w:t>Eşel</w:t>
      </w:r>
      <w:proofErr w:type="spellEnd"/>
      <w:r w:rsidR="007E4B35" w:rsidRPr="00AC6177">
        <w:rPr>
          <w:rFonts w:ascii="Times New Roman" w:hAnsi="Times New Roman" w:cs="Times New Roman"/>
          <w:sz w:val="24"/>
          <w:szCs w:val="24"/>
        </w:rPr>
        <w:t xml:space="preserve"> Mobil Sistemi,</w:t>
      </w:r>
      <w:r w:rsidR="007E4B35" w:rsidRPr="007E4B35">
        <w:rPr>
          <w:rFonts w:ascii="Times New Roman" w:hAnsi="Times New Roman" w:cs="Times New Roman"/>
          <w:sz w:val="24"/>
          <w:szCs w:val="24"/>
        </w:rPr>
        <w:t xml:space="preserve"> akaryakıt üzerindeki ÖTV gelirlerinden feragat edilmesini zorunlu kılmış; bu durumun bütçede yarattığı </w:t>
      </w:r>
      <w:proofErr w:type="spellStart"/>
      <w:r w:rsidR="007E4B35" w:rsidRPr="007E4B35">
        <w:rPr>
          <w:rFonts w:ascii="Times New Roman" w:hAnsi="Times New Roman" w:cs="Times New Roman"/>
          <w:sz w:val="24"/>
          <w:szCs w:val="24"/>
        </w:rPr>
        <w:t>zımmi</w:t>
      </w:r>
      <w:proofErr w:type="spellEnd"/>
      <w:r w:rsidR="007E4B35" w:rsidRPr="007E4B35">
        <w:rPr>
          <w:rFonts w:ascii="Times New Roman" w:hAnsi="Times New Roman" w:cs="Times New Roman"/>
          <w:sz w:val="24"/>
          <w:szCs w:val="24"/>
        </w:rPr>
        <w:t xml:space="preserve"> yük enflasyonist baskıyı %3,7 oranında hafifletse de bütçe dengesi üzerinde aşağı yönlü bir risk oluşturmuştur.</w:t>
      </w:r>
      <w:r w:rsidR="007E4B35">
        <w:rPr>
          <w:rFonts w:ascii="Times New Roman" w:hAnsi="Times New Roman" w:cs="Times New Roman"/>
          <w:sz w:val="24"/>
          <w:szCs w:val="24"/>
        </w:rPr>
        <w:t xml:space="preserve"> </w:t>
      </w:r>
      <w:r w:rsidR="007E4B35" w:rsidRPr="007E4B35">
        <w:rPr>
          <w:rFonts w:ascii="Times New Roman" w:hAnsi="Times New Roman" w:cs="Times New Roman"/>
          <w:sz w:val="24"/>
          <w:szCs w:val="24"/>
        </w:rPr>
        <w:t>Bu disiplinli yaklaşımın Türkiye’nin kredi notu üzerindeki yukarı yönlü baskıyı artırması beklentisi korunmakla birlikte; 2026 bütçe performansının başarısı, artık deprem harcamalarının azalmasından ziyade, küresel enerji maliyetlerinin kamu maliyesi üzerindeki erozyonunun ne kadar yönetilebilir kalacağına bağlı hale gelmiştir.</w:t>
      </w:r>
    </w:p>
    <w:p w14:paraId="0DE6F64F"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b/>
          <w:bCs/>
          <w:sz w:val="24"/>
          <w:szCs w:val="24"/>
        </w:rPr>
        <w:t>5. Dış Ekonomik İlişkiler ve Ticaret</w:t>
      </w:r>
    </w:p>
    <w:p w14:paraId="7083F669"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sz w:val="24"/>
          <w:szCs w:val="24"/>
        </w:rPr>
        <w:t xml:space="preserve">Dış ticaret dengesinde 2025 yılı, ihracat odaklı büyüme stratejisinin meyvelerini topladığı bir yıl olmuştur. Yıllık toplamda ihracat, bir önceki yıla göre yüzde 4,4 artarak 273 milyar 361 milyon dolara yükselirken, ithalat yüzde 6,2’lik artışla 365 milyar 370 milyon dolar olarak gerçekleşmiştir. Dış ticaret açığı 92 milyar dolar seviyesinde gerçekleşirken, ihracatın ithalatı karşılama oranı yüzde 74,8 olmuştur. Turizm sektörü ise ekonominin en güçlü döviz kaynağı </w:t>
      </w:r>
      <w:r w:rsidRPr="0028297D">
        <w:rPr>
          <w:rFonts w:ascii="Times New Roman" w:hAnsi="Times New Roman" w:cs="Times New Roman"/>
          <w:sz w:val="24"/>
          <w:szCs w:val="24"/>
        </w:rPr>
        <w:lastRenderedPageBreak/>
        <w:t>olmaya devam etmiştir. Turizm gelirleri 2025 yılında yüzde 6,8 artış göstererek 65 milyar 230 milyon dolara ulaşmıştır. Ziyaretçilerin seyahatlerini kişisel veya paket tur ile organize etmeleri sonucunda elde edilen gelirin 46,2 milyar doları kişisel harcamalardan sağlanmıştır.</w:t>
      </w:r>
    </w:p>
    <w:p w14:paraId="1190FF73" w14:textId="6736754F" w:rsidR="0028297D" w:rsidRDefault="0028297D" w:rsidP="0028297D">
      <w:pPr>
        <w:jc w:val="both"/>
        <w:rPr>
          <w:rFonts w:ascii="Times New Roman" w:hAnsi="Times New Roman" w:cs="Times New Roman"/>
          <w:sz w:val="24"/>
          <w:szCs w:val="24"/>
        </w:rPr>
      </w:pPr>
      <w:r w:rsidRPr="0028297D">
        <w:rPr>
          <w:rFonts w:ascii="Times New Roman" w:hAnsi="Times New Roman" w:cs="Times New Roman"/>
          <w:sz w:val="24"/>
          <w:szCs w:val="24"/>
        </w:rPr>
        <w:t xml:space="preserve">Ticaret Bakanlığı’nın stratejik hedefleri ve OVP projeksiyonları doğrultusunda, 2026 yılı ihracat hedefi 282 milyar dolar olarak belirlenmiştir. İthalatın ise 378 milyar dolar seviyesinde yatay bir seyir izlemesi ve böylece dış ticaret açığının GSYH içindeki payının yüzde 2,5 seviyesine geriletilmesi hedeflenmektedir. Turizmde ise 2026 yılında </w:t>
      </w:r>
      <w:r w:rsidR="00463611">
        <w:rPr>
          <w:rFonts w:ascii="Times New Roman" w:hAnsi="Times New Roman" w:cs="Times New Roman"/>
          <w:sz w:val="24"/>
          <w:szCs w:val="24"/>
        </w:rPr>
        <w:t>68</w:t>
      </w:r>
      <w:r w:rsidRPr="0028297D">
        <w:rPr>
          <w:rFonts w:ascii="Times New Roman" w:hAnsi="Times New Roman" w:cs="Times New Roman"/>
          <w:sz w:val="24"/>
          <w:szCs w:val="24"/>
        </w:rPr>
        <w:t xml:space="preserve"> milyar dolarlık gelir sınırının aşılması ve Türkiye’nin küresel turizm pazarındaki payının artırılmasına yönelik tanıtım faaliyetlerinin hız kazanması beklenmektedir. Cari işlemler açığının GSYH'ye oranının 2026 sonunda yüzde 2'nin altına indirilmesi, dış finansman ihtiyacını azaltarak makro finansal istikrarı pekiştirecektir.</w:t>
      </w:r>
    </w:p>
    <w:p w14:paraId="1E82DA76" w14:textId="518D065F" w:rsidR="007E4B35" w:rsidRPr="0028297D" w:rsidRDefault="007E4B35" w:rsidP="0028297D">
      <w:pPr>
        <w:jc w:val="both"/>
        <w:rPr>
          <w:rFonts w:ascii="Times New Roman" w:hAnsi="Times New Roman" w:cs="Times New Roman"/>
          <w:sz w:val="24"/>
          <w:szCs w:val="24"/>
        </w:rPr>
      </w:pPr>
      <w:r w:rsidRPr="007E4B35">
        <w:rPr>
          <w:rFonts w:ascii="Times New Roman" w:hAnsi="Times New Roman" w:cs="Times New Roman"/>
          <w:sz w:val="24"/>
          <w:szCs w:val="24"/>
        </w:rPr>
        <w:t xml:space="preserve">Ancak, 2026'nın ilk yarısında tırmanan jeopolitik gerilimler bu hedeflerin üzerinde "çift yönlü" bir risk oluşturmaktadır. Hürmüz Boğazı'ndaki tıkanıklık nedeniyle enerji ve hammadde ithalat faturasının şişmesi ithalat hedeflerini zorlarken, Ortadoğu pazarındaki </w:t>
      </w:r>
      <w:r w:rsidRPr="007B1589">
        <w:rPr>
          <w:rFonts w:ascii="Times New Roman" w:hAnsi="Times New Roman" w:cs="Times New Roman"/>
          <w:sz w:val="24"/>
          <w:szCs w:val="24"/>
        </w:rPr>
        <w:t>%40'lık daralma özellikle tekstil ve hazır giyim ihracatını baskı altına almıştır. Benzer şekilde, turizmde hedeflenen 68 milyar dolarlık</w:t>
      </w:r>
      <w:r w:rsidRPr="007E4B35">
        <w:rPr>
          <w:rFonts w:ascii="Times New Roman" w:hAnsi="Times New Roman" w:cs="Times New Roman"/>
          <w:sz w:val="24"/>
          <w:szCs w:val="24"/>
        </w:rPr>
        <w:t xml:space="preserve"> rekor gelir seviyesine ulaşılması; Nevruz döneminde İranlı turist akışının durması gibi savaş kaynaklı bölgesel kayıpların, Avrupa ve diğer pazarlardan gelecek taleple ne ölçüde kompanse edilebileceğine bağlıdır.</w:t>
      </w:r>
      <w:r>
        <w:rPr>
          <w:rFonts w:ascii="Times New Roman" w:hAnsi="Times New Roman" w:cs="Times New Roman"/>
          <w:sz w:val="24"/>
          <w:szCs w:val="24"/>
        </w:rPr>
        <w:t xml:space="preserve"> </w:t>
      </w:r>
      <w:r w:rsidRPr="007E4B35">
        <w:rPr>
          <w:rFonts w:ascii="Times New Roman" w:hAnsi="Times New Roman" w:cs="Times New Roman"/>
          <w:sz w:val="24"/>
          <w:szCs w:val="24"/>
        </w:rPr>
        <w:t>2026 dış ekonomik görünümü, artık sadece küresel talebin seyriyle değil, lojistik maliyet artışlarının ve bölgesel ticaret rotalarındaki (Kuzey-Güney koridoru gibi) olası kaymaların yönetilmesiyle şekillenmektedir.</w:t>
      </w:r>
    </w:p>
    <w:p w14:paraId="02A4A870" w14:textId="77777777" w:rsidR="0028297D" w:rsidRPr="0028297D" w:rsidRDefault="0028297D" w:rsidP="0028297D">
      <w:pPr>
        <w:jc w:val="both"/>
        <w:rPr>
          <w:rFonts w:ascii="Times New Roman" w:hAnsi="Times New Roman" w:cs="Times New Roman"/>
          <w:sz w:val="24"/>
          <w:szCs w:val="24"/>
        </w:rPr>
      </w:pPr>
      <w:r w:rsidRPr="0028297D">
        <w:rPr>
          <w:rFonts w:ascii="Times New Roman" w:hAnsi="Times New Roman" w:cs="Times New Roman"/>
          <w:b/>
          <w:bCs/>
          <w:sz w:val="24"/>
          <w:szCs w:val="24"/>
        </w:rPr>
        <w:t>Sonuç</w:t>
      </w:r>
    </w:p>
    <w:p w14:paraId="6A5717F0" w14:textId="77777777" w:rsidR="004350AC" w:rsidRPr="004350AC" w:rsidRDefault="004350AC" w:rsidP="004350AC">
      <w:pPr>
        <w:jc w:val="both"/>
        <w:rPr>
          <w:rFonts w:ascii="Times New Roman" w:hAnsi="Times New Roman" w:cs="Times New Roman"/>
          <w:sz w:val="24"/>
          <w:szCs w:val="24"/>
        </w:rPr>
      </w:pPr>
      <w:r w:rsidRPr="004350AC">
        <w:rPr>
          <w:rFonts w:ascii="Times New Roman" w:hAnsi="Times New Roman" w:cs="Times New Roman"/>
          <w:sz w:val="24"/>
          <w:szCs w:val="24"/>
        </w:rPr>
        <w:t xml:space="preserve">Tüm bu veriler ve resmi projeksiyonlar bir arada değerlendirildiğinde; 2025 yılı Türkiye ekonomisi için "istikrarın ve onarımın başarıyla yönetildiği", 2026 yılı ise bu kazanımların küresel çapta bir "direnç testinden" geçtiği bir dönem olarak tasvir edilebilir. 2025 yılında elde edilen </w:t>
      </w:r>
      <w:r w:rsidRPr="00CF42DB">
        <w:rPr>
          <w:rFonts w:ascii="Times New Roman" w:hAnsi="Times New Roman" w:cs="Times New Roman"/>
          <w:sz w:val="24"/>
          <w:szCs w:val="24"/>
        </w:rPr>
        <w:t>%3,6’lık büyüme, 255,3 milyar TL’lik faiz dışı fazla ve işsizliğin %8,3</w:t>
      </w:r>
      <w:r w:rsidRPr="004350AC">
        <w:rPr>
          <w:rFonts w:ascii="Times New Roman" w:hAnsi="Times New Roman" w:cs="Times New Roman"/>
          <w:sz w:val="24"/>
          <w:szCs w:val="24"/>
        </w:rPr>
        <w:t xml:space="preserve"> seviyesine çekilmesi, ekonominin yapısal olarak daha sağlıklı bir zemine oturduğunu kanıtlamıştır. Ancak, 2026'nın ilk çeyreğinde patlak veren ABD-İran savaşı, 2025’in sağladığı bu korunaklı alanı bir "kriz yönetimi" sahasına dönüştürmüştür.</w:t>
      </w:r>
    </w:p>
    <w:p w14:paraId="4DEECE8C" w14:textId="2B15A974" w:rsidR="0028297D" w:rsidRPr="0028297D" w:rsidRDefault="004563A3" w:rsidP="0028297D">
      <w:pPr>
        <w:jc w:val="both"/>
        <w:rPr>
          <w:rFonts w:ascii="Times New Roman" w:hAnsi="Times New Roman" w:cs="Times New Roman"/>
          <w:sz w:val="24"/>
          <w:szCs w:val="24"/>
        </w:rPr>
      </w:pPr>
      <w:r>
        <w:rPr>
          <w:rFonts w:ascii="Times New Roman" w:hAnsi="Times New Roman" w:cs="Times New Roman"/>
          <w:sz w:val="24"/>
          <w:szCs w:val="24"/>
        </w:rPr>
        <w:t>İ</w:t>
      </w:r>
      <w:r w:rsidR="004350AC" w:rsidRPr="004350AC">
        <w:rPr>
          <w:rFonts w:ascii="Times New Roman" w:hAnsi="Times New Roman" w:cs="Times New Roman"/>
          <w:sz w:val="24"/>
          <w:szCs w:val="24"/>
        </w:rPr>
        <w:t>ş dünyası için 2026 yılı; başlangıçtaki %16 enflasyon ve %3,8 büyüme hedeflerinden ziyade, jeopolitik risklerin (</w:t>
      </w:r>
      <w:proofErr w:type="spellStart"/>
      <w:r w:rsidR="004350AC" w:rsidRPr="004350AC">
        <w:rPr>
          <w:rFonts w:ascii="Times New Roman" w:hAnsi="Times New Roman" w:cs="Times New Roman"/>
          <w:sz w:val="24"/>
          <w:szCs w:val="24"/>
        </w:rPr>
        <w:t>Trampmetre</w:t>
      </w:r>
      <w:proofErr w:type="spellEnd"/>
      <w:r w:rsidR="004350AC" w:rsidRPr="004350AC">
        <w:rPr>
          <w:rFonts w:ascii="Times New Roman" w:hAnsi="Times New Roman" w:cs="Times New Roman"/>
          <w:sz w:val="24"/>
          <w:szCs w:val="24"/>
        </w:rPr>
        <w:t>) proaktif yönetildiği, maliyet artışlarına karşı direncin ölçüldüğü bir dönem olacaktır. Enerji fiyatlarındaki sıçrama ve Hürmüz Boğazı’ndaki tıkanıklık nedeniyle büyüme beklentilerinin</w:t>
      </w:r>
      <w:r w:rsidR="004350AC" w:rsidRPr="004227B7">
        <w:rPr>
          <w:rFonts w:ascii="Times New Roman" w:hAnsi="Times New Roman" w:cs="Times New Roman"/>
          <w:sz w:val="24"/>
          <w:szCs w:val="24"/>
        </w:rPr>
        <w:t xml:space="preserve"> %3 </w:t>
      </w:r>
      <w:r w:rsidR="004350AC" w:rsidRPr="004350AC">
        <w:rPr>
          <w:rFonts w:ascii="Times New Roman" w:hAnsi="Times New Roman" w:cs="Times New Roman"/>
          <w:sz w:val="24"/>
          <w:szCs w:val="24"/>
        </w:rPr>
        <w:t xml:space="preserve">seviyesine evrilmesi ve enflasyon çıpasının </w:t>
      </w:r>
      <w:r w:rsidR="004350AC" w:rsidRPr="004227B7">
        <w:rPr>
          <w:rFonts w:ascii="Times New Roman" w:hAnsi="Times New Roman" w:cs="Times New Roman"/>
          <w:sz w:val="24"/>
          <w:szCs w:val="24"/>
        </w:rPr>
        <w:t xml:space="preserve">%29-30 </w:t>
      </w:r>
      <w:r w:rsidR="004350AC" w:rsidRPr="004350AC">
        <w:rPr>
          <w:rFonts w:ascii="Times New Roman" w:hAnsi="Times New Roman" w:cs="Times New Roman"/>
          <w:sz w:val="24"/>
          <w:szCs w:val="24"/>
        </w:rPr>
        <w:t>bandına taşınması, işletmelerimiz için "likidite yönetimi" ve "maliyet verimliliğini" en öncelikli strateji haline getirmiştir.</w:t>
      </w:r>
      <w:r w:rsidR="004350AC">
        <w:rPr>
          <w:rFonts w:ascii="Times New Roman" w:hAnsi="Times New Roman" w:cs="Times New Roman"/>
          <w:sz w:val="24"/>
          <w:szCs w:val="24"/>
        </w:rPr>
        <w:t xml:space="preserve"> </w:t>
      </w:r>
      <w:r w:rsidR="004350AC" w:rsidRPr="004350AC">
        <w:rPr>
          <w:rFonts w:ascii="Times New Roman" w:hAnsi="Times New Roman" w:cs="Times New Roman"/>
          <w:sz w:val="24"/>
          <w:szCs w:val="24"/>
        </w:rPr>
        <w:t xml:space="preserve">Buna karşın, Türkiye’nin 2025 yılından devraldığı mali disiplin ve güçlü rezerv yapısı, bu "jeopolitik fırtınada" en önemli güvencemizdir. </w:t>
      </w:r>
      <w:proofErr w:type="spellStart"/>
      <w:r w:rsidR="004350AC" w:rsidRPr="004350AC">
        <w:rPr>
          <w:rFonts w:ascii="Times New Roman" w:hAnsi="Times New Roman" w:cs="Times New Roman"/>
          <w:sz w:val="24"/>
          <w:szCs w:val="24"/>
        </w:rPr>
        <w:t>Eşel</w:t>
      </w:r>
      <w:proofErr w:type="spellEnd"/>
      <w:r w:rsidR="004350AC" w:rsidRPr="004350AC">
        <w:rPr>
          <w:rFonts w:ascii="Times New Roman" w:hAnsi="Times New Roman" w:cs="Times New Roman"/>
          <w:sz w:val="24"/>
          <w:szCs w:val="24"/>
        </w:rPr>
        <w:t xml:space="preserve"> Mobil sistemiyle enflasyonun sönümlenmesi, ihracatçılara yönelik %10’luk kur primi gibi destekler ve pazar çeşitlendirme hamleleri, Türkiye’nin makro-finansal istikrarını koruma konusundaki kararlılığını simgelemektedir. Bu süreçte Rize’deki yerel üreticilerimizin, dijitalleşme ve yeşil dönüşüm gibi küresel trendleri takip ederken, aynı zamanda savaş kaynaklı lojistik ve girdi maliyetlerini rasyonel yönetmeleri, bölgemizin kalkınma ivmesini koruması açısından hayati önem taşımaktadır. 2026 yılı, Türkiye'nin dışsal şoklara karşı bağışıklığını kanıtlayacağı ve bu türbülanstan sonra kalıcı refah hedeflerine daha güçlü bir üretim kasıyla odaklanacağı kritik bir eşik olacaktır</w:t>
      </w:r>
      <w:r w:rsidR="0028297D" w:rsidRPr="0028297D">
        <w:rPr>
          <w:rFonts w:ascii="Times New Roman" w:hAnsi="Times New Roman" w:cs="Times New Roman"/>
          <w:sz w:val="24"/>
          <w:szCs w:val="24"/>
        </w:rPr>
        <w:t>.</w:t>
      </w:r>
    </w:p>
    <w:p w14:paraId="766D6946" w14:textId="340D0422" w:rsidR="0098513B" w:rsidRPr="0098513B" w:rsidRDefault="002D6C72" w:rsidP="0098513B">
      <w:pPr>
        <w:jc w:val="both"/>
        <w:rPr>
          <w:rFonts w:ascii="Times New Roman" w:hAnsi="Times New Roman" w:cs="Times New Roman"/>
          <w:b/>
          <w:bCs/>
          <w:sz w:val="24"/>
          <w:szCs w:val="24"/>
        </w:rPr>
      </w:pPr>
      <w:r w:rsidRPr="0098513B">
        <w:rPr>
          <w:rFonts w:ascii="Times New Roman" w:hAnsi="Times New Roman" w:cs="Times New Roman"/>
          <w:b/>
          <w:bCs/>
          <w:sz w:val="24"/>
          <w:szCs w:val="24"/>
        </w:rPr>
        <w:lastRenderedPageBreak/>
        <w:t>Kaynakça</w:t>
      </w:r>
    </w:p>
    <w:p w14:paraId="1B2809D9" w14:textId="5F4FE9CF" w:rsidR="005E488F" w:rsidRPr="004350AC" w:rsidRDefault="0037675F" w:rsidP="0098513B">
      <w:pPr>
        <w:jc w:val="both"/>
        <w:rPr>
          <w:rFonts w:ascii="Times New Roman" w:hAnsi="Times New Roman" w:cs="Times New Roman"/>
          <w:i/>
          <w:iCs/>
          <w:sz w:val="24"/>
          <w:szCs w:val="24"/>
        </w:rPr>
      </w:pPr>
      <w:r w:rsidRPr="0037675F">
        <w:rPr>
          <w:rFonts w:ascii="Times New Roman" w:hAnsi="Times New Roman" w:cs="Times New Roman"/>
          <w:sz w:val="24"/>
          <w:szCs w:val="24"/>
        </w:rPr>
        <w:t xml:space="preserve">Bloomberg HT. (2026, Mart-Nisan). Ekonomik Görünüm, Sabah Raporu ve Yatırım Kulübü program arşivleri [Video kayıtları]. Konuklar: E. Aslanoğlu, E. Yazgan, M. Yüksel &amp; F. Keresteci. </w:t>
      </w:r>
      <w:hyperlink r:id="rId5" w:history="1">
        <w:r w:rsidRPr="00383B78">
          <w:rPr>
            <w:rStyle w:val="Kpr"/>
            <w:rFonts w:ascii="Times New Roman" w:hAnsi="Times New Roman" w:cs="Times New Roman"/>
            <w:sz w:val="24"/>
            <w:szCs w:val="24"/>
          </w:rPr>
          <w:t>https://www.bloomberght.com/video</w:t>
        </w:r>
      </w:hyperlink>
      <w:r>
        <w:rPr>
          <w:rFonts w:ascii="Times New Roman" w:hAnsi="Times New Roman" w:cs="Times New Roman"/>
          <w:sz w:val="24"/>
          <w:szCs w:val="24"/>
        </w:rPr>
        <w:t xml:space="preserve"> </w:t>
      </w:r>
      <w:r w:rsidR="004350AC">
        <w:rPr>
          <w:rFonts w:ascii="Times New Roman" w:hAnsi="Times New Roman" w:cs="Times New Roman"/>
          <w:i/>
          <w:iCs/>
          <w:sz w:val="24"/>
          <w:szCs w:val="24"/>
        </w:rPr>
        <w:t xml:space="preserve"> </w:t>
      </w:r>
    </w:p>
    <w:p w14:paraId="5E6CA27B" w14:textId="2289CA71" w:rsidR="0098513B"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Cumhurbaşkanlığı Strateji ve Bütçe Başkanlığı. (2025). </w:t>
      </w:r>
      <w:r w:rsidRPr="00D011C6">
        <w:rPr>
          <w:rFonts w:ascii="Times New Roman" w:hAnsi="Times New Roman" w:cs="Times New Roman"/>
          <w:i/>
          <w:iCs/>
          <w:sz w:val="24"/>
          <w:szCs w:val="24"/>
        </w:rPr>
        <w:t>Orta Vadeli Program (2026-2028)</w:t>
      </w:r>
      <w:r w:rsidRPr="00D011C6">
        <w:rPr>
          <w:rFonts w:ascii="Times New Roman" w:hAnsi="Times New Roman" w:cs="Times New Roman"/>
          <w:sz w:val="24"/>
          <w:szCs w:val="24"/>
        </w:rPr>
        <w:t xml:space="preserve">. Ankara: T.C. Cumhurbaşkanlığı. </w:t>
      </w:r>
    </w:p>
    <w:p w14:paraId="08A232DC" w14:textId="779C1282"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Cumhuriyet Merkez Bankası [TCMB]. (2025). </w:t>
      </w:r>
      <w:r w:rsidRPr="00D011C6">
        <w:rPr>
          <w:rFonts w:ascii="Times New Roman" w:hAnsi="Times New Roman" w:cs="Times New Roman"/>
          <w:i/>
          <w:iCs/>
          <w:sz w:val="24"/>
          <w:szCs w:val="24"/>
        </w:rPr>
        <w:t>Faiz Oranlarına İlişkin Basın Duyurusu (Sayı: 2025-63)</w:t>
      </w:r>
      <w:r w:rsidRPr="00D011C6">
        <w:rPr>
          <w:rFonts w:ascii="Times New Roman" w:hAnsi="Times New Roman" w:cs="Times New Roman"/>
          <w:sz w:val="24"/>
          <w:szCs w:val="24"/>
        </w:rPr>
        <w:t xml:space="preserve">. Ankara. </w:t>
      </w:r>
    </w:p>
    <w:p w14:paraId="5185E428" w14:textId="397F0E92"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Cumhuriyet Merkez Bankası [TCMB]. (2026). </w:t>
      </w:r>
      <w:r w:rsidRPr="00D011C6">
        <w:rPr>
          <w:rFonts w:ascii="Times New Roman" w:hAnsi="Times New Roman" w:cs="Times New Roman"/>
          <w:i/>
          <w:iCs/>
          <w:sz w:val="24"/>
          <w:szCs w:val="24"/>
        </w:rPr>
        <w:t>Enflasyon Raporu 2026-I</w:t>
      </w:r>
      <w:r w:rsidRPr="00D011C6">
        <w:rPr>
          <w:rFonts w:ascii="Times New Roman" w:hAnsi="Times New Roman" w:cs="Times New Roman"/>
          <w:sz w:val="24"/>
          <w:szCs w:val="24"/>
        </w:rPr>
        <w:t xml:space="preserve">. Ankara. </w:t>
      </w:r>
    </w:p>
    <w:p w14:paraId="188EC241" w14:textId="5A5ECEEE"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İstatistik Kurumu [TÜİK]. (2025). </w:t>
      </w:r>
      <w:r w:rsidRPr="00D011C6">
        <w:rPr>
          <w:rFonts w:ascii="Times New Roman" w:hAnsi="Times New Roman" w:cs="Times New Roman"/>
          <w:i/>
          <w:iCs/>
          <w:sz w:val="24"/>
          <w:szCs w:val="24"/>
        </w:rPr>
        <w:t>Gelir Dağılımı İstatistikleri, 2025</w:t>
      </w:r>
      <w:r w:rsidRPr="00D011C6">
        <w:rPr>
          <w:rFonts w:ascii="Times New Roman" w:hAnsi="Times New Roman" w:cs="Times New Roman"/>
          <w:sz w:val="24"/>
          <w:szCs w:val="24"/>
        </w:rPr>
        <w:t xml:space="preserve">. (Yayım No: 53993). Ankara. </w:t>
      </w:r>
    </w:p>
    <w:p w14:paraId="37BEE46C" w14:textId="02355CC7"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İstatistik Kurumu [TÜİK]. (2026). </w:t>
      </w:r>
      <w:r w:rsidRPr="00D011C6">
        <w:rPr>
          <w:rFonts w:ascii="Times New Roman" w:hAnsi="Times New Roman" w:cs="Times New Roman"/>
          <w:i/>
          <w:iCs/>
          <w:sz w:val="24"/>
          <w:szCs w:val="24"/>
        </w:rPr>
        <w:t>Dış Ticaret İstatistikleri, Aralık 2025</w:t>
      </w:r>
      <w:r w:rsidRPr="00D011C6">
        <w:rPr>
          <w:rFonts w:ascii="Times New Roman" w:hAnsi="Times New Roman" w:cs="Times New Roman"/>
          <w:sz w:val="24"/>
          <w:szCs w:val="24"/>
        </w:rPr>
        <w:t xml:space="preserve">. (Yayım No: 53911). Ankara. </w:t>
      </w:r>
    </w:p>
    <w:p w14:paraId="314DCE8A" w14:textId="5434E960"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İstatistik Kurumu [TÜİK]. (2026). </w:t>
      </w:r>
      <w:r w:rsidRPr="00D011C6">
        <w:rPr>
          <w:rFonts w:ascii="Times New Roman" w:hAnsi="Times New Roman" w:cs="Times New Roman"/>
          <w:i/>
          <w:iCs/>
          <w:sz w:val="24"/>
          <w:szCs w:val="24"/>
        </w:rPr>
        <w:t>Dönemsel Gayrisafi Yurt İçi Hasıla, IV. Çeyrek: Ekim-Aralık 2025</w:t>
      </w:r>
      <w:r w:rsidRPr="00D011C6">
        <w:rPr>
          <w:rFonts w:ascii="Times New Roman" w:hAnsi="Times New Roman" w:cs="Times New Roman"/>
          <w:sz w:val="24"/>
          <w:szCs w:val="24"/>
        </w:rPr>
        <w:t xml:space="preserve">. (Yayım No: 54162). Ankara. </w:t>
      </w:r>
    </w:p>
    <w:p w14:paraId="10F94CAB" w14:textId="0CE9F2BB"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İstatistik Kurumu [TÜİK]. (2026). </w:t>
      </w:r>
      <w:r w:rsidRPr="00D011C6">
        <w:rPr>
          <w:rFonts w:ascii="Times New Roman" w:hAnsi="Times New Roman" w:cs="Times New Roman"/>
          <w:i/>
          <w:iCs/>
          <w:sz w:val="24"/>
          <w:szCs w:val="24"/>
        </w:rPr>
        <w:t>İşgücü İstatistikleri, 2025</w:t>
      </w:r>
      <w:r w:rsidRPr="00D011C6">
        <w:rPr>
          <w:rFonts w:ascii="Times New Roman" w:hAnsi="Times New Roman" w:cs="Times New Roman"/>
          <w:sz w:val="24"/>
          <w:szCs w:val="24"/>
        </w:rPr>
        <w:t xml:space="preserve">. (Yayım No: 57996). Ankara. </w:t>
      </w:r>
    </w:p>
    <w:p w14:paraId="46FEE901" w14:textId="061194CD"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İstatistik Kurumu [TÜİK]. (2026). </w:t>
      </w:r>
      <w:r w:rsidRPr="00D011C6">
        <w:rPr>
          <w:rFonts w:ascii="Times New Roman" w:hAnsi="Times New Roman" w:cs="Times New Roman"/>
          <w:i/>
          <w:iCs/>
          <w:sz w:val="24"/>
          <w:szCs w:val="24"/>
        </w:rPr>
        <w:t>Turizm İstatistikleri, IV. Çeyrek: Ekim-Aralık ve Yıllık, 2025</w:t>
      </w:r>
      <w:r w:rsidRPr="00D011C6">
        <w:rPr>
          <w:rFonts w:ascii="Times New Roman" w:hAnsi="Times New Roman" w:cs="Times New Roman"/>
          <w:sz w:val="24"/>
          <w:szCs w:val="24"/>
        </w:rPr>
        <w:t xml:space="preserve">. (Yayım No: 54158). Ankara. </w:t>
      </w:r>
    </w:p>
    <w:p w14:paraId="3C3D9DA3" w14:textId="6B863E08" w:rsidR="0098513B" w:rsidRPr="00D011C6" w:rsidRDefault="0098513B"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Türkiye İstatistik Kurumu [TÜİK]. (2026). </w:t>
      </w:r>
      <w:r w:rsidRPr="00D011C6">
        <w:rPr>
          <w:rFonts w:ascii="Times New Roman" w:hAnsi="Times New Roman" w:cs="Times New Roman"/>
          <w:i/>
          <w:iCs/>
          <w:sz w:val="24"/>
          <w:szCs w:val="24"/>
        </w:rPr>
        <w:t>Tüketici Fiyat Endeksi, Aralık 2025</w:t>
      </w:r>
      <w:r w:rsidRPr="00D011C6">
        <w:rPr>
          <w:rFonts w:ascii="Times New Roman" w:hAnsi="Times New Roman" w:cs="Times New Roman"/>
          <w:sz w:val="24"/>
          <w:szCs w:val="24"/>
        </w:rPr>
        <w:t>. (Yayım No: 58294). Ankara.</w:t>
      </w:r>
    </w:p>
    <w:p w14:paraId="61AF6BC1" w14:textId="1806B6A4" w:rsidR="0088364D" w:rsidRDefault="0088364D" w:rsidP="0098513B">
      <w:pPr>
        <w:jc w:val="both"/>
        <w:rPr>
          <w:rFonts w:ascii="Times New Roman" w:hAnsi="Times New Roman" w:cs="Times New Roman"/>
          <w:sz w:val="24"/>
          <w:szCs w:val="24"/>
        </w:rPr>
      </w:pPr>
      <w:r w:rsidRPr="00D011C6">
        <w:rPr>
          <w:rFonts w:ascii="Times New Roman" w:hAnsi="Times New Roman" w:cs="Times New Roman"/>
          <w:sz w:val="24"/>
          <w:szCs w:val="24"/>
        </w:rPr>
        <w:t xml:space="preserve">T.C. Hazine ve Maliye Bakanlığı. (2026). </w:t>
      </w:r>
      <w:r w:rsidRPr="00D011C6">
        <w:rPr>
          <w:rFonts w:ascii="Times New Roman" w:hAnsi="Times New Roman" w:cs="Times New Roman"/>
          <w:i/>
          <w:iCs/>
          <w:sz w:val="24"/>
          <w:szCs w:val="24"/>
        </w:rPr>
        <w:t>2025 Yılı Aralık Ayı Merkezi Yönetim Bütçe Gerçekleşmeleri</w:t>
      </w:r>
      <w:r w:rsidRPr="00D011C6">
        <w:rPr>
          <w:rFonts w:ascii="Times New Roman" w:hAnsi="Times New Roman" w:cs="Times New Roman"/>
          <w:sz w:val="24"/>
          <w:szCs w:val="24"/>
        </w:rPr>
        <w:t xml:space="preserve">. Ankara: Strateji Geliştirme Başkanlığı. </w:t>
      </w:r>
    </w:p>
    <w:p w14:paraId="4CD8241B" w14:textId="1D7D44E7" w:rsidR="005E488F" w:rsidRDefault="005E488F" w:rsidP="0098513B">
      <w:pPr>
        <w:jc w:val="both"/>
        <w:rPr>
          <w:rFonts w:ascii="Times New Roman" w:hAnsi="Times New Roman" w:cs="Times New Roman"/>
          <w:sz w:val="24"/>
          <w:szCs w:val="24"/>
        </w:rPr>
      </w:pPr>
      <w:r w:rsidRPr="005E488F">
        <w:rPr>
          <w:rFonts w:ascii="Times New Roman" w:hAnsi="Times New Roman" w:cs="Times New Roman"/>
          <w:sz w:val="24"/>
          <w:szCs w:val="24"/>
        </w:rPr>
        <w:t xml:space="preserve">UNCTAD. (2026). </w:t>
      </w:r>
      <w:proofErr w:type="spellStart"/>
      <w:r w:rsidRPr="005E488F">
        <w:rPr>
          <w:rFonts w:ascii="Times New Roman" w:hAnsi="Times New Roman" w:cs="Times New Roman"/>
          <w:i/>
          <w:iCs/>
          <w:sz w:val="24"/>
          <w:szCs w:val="24"/>
        </w:rPr>
        <w:t>Strait</w:t>
      </w:r>
      <w:proofErr w:type="spellEnd"/>
      <w:r w:rsidRPr="005E488F">
        <w:rPr>
          <w:rFonts w:ascii="Times New Roman" w:hAnsi="Times New Roman" w:cs="Times New Roman"/>
          <w:i/>
          <w:iCs/>
          <w:sz w:val="24"/>
          <w:szCs w:val="24"/>
        </w:rPr>
        <w:t xml:space="preserve"> of </w:t>
      </w:r>
      <w:proofErr w:type="spellStart"/>
      <w:r w:rsidRPr="005E488F">
        <w:rPr>
          <w:rFonts w:ascii="Times New Roman" w:hAnsi="Times New Roman" w:cs="Times New Roman"/>
          <w:i/>
          <w:iCs/>
          <w:sz w:val="24"/>
          <w:szCs w:val="24"/>
        </w:rPr>
        <w:t>Hormuz</w:t>
      </w:r>
      <w:proofErr w:type="spellEnd"/>
      <w:r w:rsidRPr="005E488F">
        <w:rPr>
          <w:rFonts w:ascii="Times New Roman" w:hAnsi="Times New Roman" w:cs="Times New Roman"/>
          <w:i/>
          <w:iCs/>
          <w:sz w:val="24"/>
          <w:szCs w:val="24"/>
        </w:rPr>
        <w:t xml:space="preserve"> </w:t>
      </w:r>
      <w:proofErr w:type="spellStart"/>
      <w:r w:rsidRPr="005E488F">
        <w:rPr>
          <w:rFonts w:ascii="Times New Roman" w:hAnsi="Times New Roman" w:cs="Times New Roman"/>
          <w:i/>
          <w:iCs/>
          <w:sz w:val="24"/>
          <w:szCs w:val="24"/>
        </w:rPr>
        <w:t>disruptions</w:t>
      </w:r>
      <w:proofErr w:type="spellEnd"/>
      <w:r w:rsidRPr="005E488F">
        <w:rPr>
          <w:rFonts w:ascii="Times New Roman" w:hAnsi="Times New Roman" w:cs="Times New Roman"/>
          <w:i/>
          <w:iCs/>
          <w:sz w:val="24"/>
          <w:szCs w:val="24"/>
        </w:rPr>
        <w:t xml:space="preserve">: </w:t>
      </w:r>
      <w:proofErr w:type="spellStart"/>
      <w:r w:rsidRPr="005E488F">
        <w:rPr>
          <w:rFonts w:ascii="Times New Roman" w:hAnsi="Times New Roman" w:cs="Times New Roman"/>
          <w:i/>
          <w:iCs/>
          <w:sz w:val="24"/>
          <w:szCs w:val="24"/>
        </w:rPr>
        <w:t>Growth</w:t>
      </w:r>
      <w:proofErr w:type="spellEnd"/>
      <w:r w:rsidRPr="005E488F">
        <w:rPr>
          <w:rFonts w:ascii="Times New Roman" w:hAnsi="Times New Roman" w:cs="Times New Roman"/>
          <w:i/>
          <w:iCs/>
          <w:sz w:val="24"/>
          <w:szCs w:val="24"/>
        </w:rPr>
        <w:t xml:space="preserve"> </w:t>
      </w:r>
      <w:proofErr w:type="spellStart"/>
      <w:r w:rsidRPr="005E488F">
        <w:rPr>
          <w:rFonts w:ascii="Times New Roman" w:hAnsi="Times New Roman" w:cs="Times New Roman"/>
          <w:i/>
          <w:iCs/>
          <w:sz w:val="24"/>
          <w:szCs w:val="24"/>
        </w:rPr>
        <w:t>and</w:t>
      </w:r>
      <w:proofErr w:type="spellEnd"/>
      <w:r w:rsidRPr="005E488F">
        <w:rPr>
          <w:rFonts w:ascii="Times New Roman" w:hAnsi="Times New Roman" w:cs="Times New Roman"/>
          <w:i/>
          <w:iCs/>
          <w:sz w:val="24"/>
          <w:szCs w:val="24"/>
        </w:rPr>
        <w:t xml:space="preserve"> </w:t>
      </w:r>
      <w:proofErr w:type="spellStart"/>
      <w:r w:rsidRPr="005E488F">
        <w:rPr>
          <w:rFonts w:ascii="Times New Roman" w:hAnsi="Times New Roman" w:cs="Times New Roman"/>
          <w:i/>
          <w:iCs/>
          <w:sz w:val="24"/>
          <w:szCs w:val="24"/>
        </w:rPr>
        <w:t>financial</w:t>
      </w:r>
      <w:proofErr w:type="spellEnd"/>
      <w:r w:rsidRPr="005E488F">
        <w:rPr>
          <w:rFonts w:ascii="Times New Roman" w:hAnsi="Times New Roman" w:cs="Times New Roman"/>
          <w:i/>
          <w:iCs/>
          <w:sz w:val="24"/>
          <w:szCs w:val="24"/>
        </w:rPr>
        <w:t xml:space="preserve"> </w:t>
      </w:r>
      <w:proofErr w:type="spellStart"/>
      <w:r w:rsidRPr="005E488F">
        <w:rPr>
          <w:rFonts w:ascii="Times New Roman" w:hAnsi="Times New Roman" w:cs="Times New Roman"/>
          <w:i/>
          <w:iCs/>
          <w:sz w:val="24"/>
          <w:szCs w:val="24"/>
        </w:rPr>
        <w:t>implications</w:t>
      </w:r>
      <w:proofErr w:type="spellEnd"/>
      <w:r w:rsidRPr="005E488F">
        <w:rPr>
          <w:rFonts w:ascii="Times New Roman" w:hAnsi="Times New Roman" w:cs="Times New Roman"/>
          <w:sz w:val="24"/>
          <w:szCs w:val="24"/>
        </w:rPr>
        <w:t xml:space="preserve"> (</w:t>
      </w:r>
      <w:proofErr w:type="spellStart"/>
      <w:r w:rsidRPr="005E488F">
        <w:rPr>
          <w:rFonts w:ascii="Times New Roman" w:hAnsi="Times New Roman" w:cs="Times New Roman"/>
          <w:sz w:val="24"/>
          <w:szCs w:val="24"/>
        </w:rPr>
        <w:t>Official</w:t>
      </w:r>
      <w:proofErr w:type="spellEnd"/>
      <w:r w:rsidRPr="005E488F">
        <w:rPr>
          <w:rFonts w:ascii="Times New Roman" w:hAnsi="Times New Roman" w:cs="Times New Roman"/>
          <w:sz w:val="24"/>
          <w:szCs w:val="24"/>
        </w:rPr>
        <w:t xml:space="preserve"> </w:t>
      </w:r>
      <w:proofErr w:type="spellStart"/>
      <w:r w:rsidRPr="005E488F">
        <w:rPr>
          <w:rFonts w:ascii="Times New Roman" w:hAnsi="Times New Roman" w:cs="Times New Roman"/>
          <w:sz w:val="24"/>
          <w:szCs w:val="24"/>
        </w:rPr>
        <w:t>Document</w:t>
      </w:r>
      <w:proofErr w:type="spellEnd"/>
      <w:r w:rsidRPr="005E488F">
        <w:rPr>
          <w:rFonts w:ascii="Times New Roman" w:hAnsi="Times New Roman" w:cs="Times New Roman"/>
          <w:sz w:val="24"/>
          <w:szCs w:val="24"/>
        </w:rPr>
        <w:t xml:space="preserve"> No. OSG/INF/2026/D2). United Nations Conference on </w:t>
      </w:r>
      <w:proofErr w:type="spellStart"/>
      <w:r w:rsidRPr="005E488F">
        <w:rPr>
          <w:rFonts w:ascii="Times New Roman" w:hAnsi="Times New Roman" w:cs="Times New Roman"/>
          <w:sz w:val="24"/>
          <w:szCs w:val="24"/>
        </w:rPr>
        <w:t>Trade</w:t>
      </w:r>
      <w:proofErr w:type="spellEnd"/>
      <w:r w:rsidRPr="005E488F">
        <w:rPr>
          <w:rFonts w:ascii="Times New Roman" w:hAnsi="Times New Roman" w:cs="Times New Roman"/>
          <w:sz w:val="24"/>
          <w:szCs w:val="24"/>
        </w:rPr>
        <w:t xml:space="preserve"> </w:t>
      </w:r>
      <w:proofErr w:type="spellStart"/>
      <w:r w:rsidRPr="005E488F">
        <w:rPr>
          <w:rFonts w:ascii="Times New Roman" w:hAnsi="Times New Roman" w:cs="Times New Roman"/>
          <w:sz w:val="24"/>
          <w:szCs w:val="24"/>
        </w:rPr>
        <w:t>and</w:t>
      </w:r>
      <w:proofErr w:type="spellEnd"/>
      <w:r w:rsidRPr="005E488F">
        <w:rPr>
          <w:rFonts w:ascii="Times New Roman" w:hAnsi="Times New Roman" w:cs="Times New Roman"/>
          <w:sz w:val="24"/>
          <w:szCs w:val="24"/>
        </w:rPr>
        <w:t xml:space="preserve"> Development. </w:t>
      </w:r>
      <w:hyperlink r:id="rId6" w:tgtFrame="_blank" w:history="1">
        <w:r w:rsidRPr="005E488F">
          <w:rPr>
            <w:rStyle w:val="Kpr"/>
            <w:rFonts w:ascii="Times New Roman" w:hAnsi="Times New Roman" w:cs="Times New Roman"/>
            <w:sz w:val="24"/>
            <w:szCs w:val="24"/>
          </w:rPr>
          <w:t>https://unctad.org/system/files/official-document/osginf2026d2_en.pdf</w:t>
        </w:r>
      </w:hyperlink>
    </w:p>
    <w:p w14:paraId="49100041" w14:textId="77777777" w:rsidR="00263661" w:rsidRPr="00D011C6" w:rsidRDefault="00263661" w:rsidP="0098513B">
      <w:pPr>
        <w:jc w:val="both"/>
        <w:rPr>
          <w:rFonts w:ascii="Times New Roman" w:hAnsi="Times New Roman" w:cs="Times New Roman"/>
          <w:sz w:val="24"/>
          <w:szCs w:val="24"/>
        </w:rPr>
      </w:pPr>
    </w:p>
    <w:p w14:paraId="7AB22C8E" w14:textId="77777777" w:rsidR="001A07DF" w:rsidRPr="0028297D" w:rsidRDefault="001A07DF" w:rsidP="0028297D">
      <w:pPr>
        <w:jc w:val="both"/>
        <w:rPr>
          <w:rFonts w:ascii="Times New Roman" w:hAnsi="Times New Roman" w:cs="Times New Roman"/>
          <w:sz w:val="24"/>
          <w:szCs w:val="24"/>
        </w:rPr>
      </w:pPr>
    </w:p>
    <w:sectPr w:rsidR="001A07DF" w:rsidRPr="0028297D" w:rsidSect="003A39E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FF"/>
    <w:rsid w:val="00060ED3"/>
    <w:rsid w:val="000B7770"/>
    <w:rsid w:val="000E667F"/>
    <w:rsid w:val="001601C7"/>
    <w:rsid w:val="00172266"/>
    <w:rsid w:val="00197209"/>
    <w:rsid w:val="001A07DF"/>
    <w:rsid w:val="002300E7"/>
    <w:rsid w:val="00245887"/>
    <w:rsid w:val="00263661"/>
    <w:rsid w:val="0028297D"/>
    <w:rsid w:val="002D6C72"/>
    <w:rsid w:val="003050DC"/>
    <w:rsid w:val="0034205A"/>
    <w:rsid w:val="0037675F"/>
    <w:rsid w:val="003A39EF"/>
    <w:rsid w:val="004227B7"/>
    <w:rsid w:val="0042695F"/>
    <w:rsid w:val="004350AC"/>
    <w:rsid w:val="004563A3"/>
    <w:rsid w:val="00463611"/>
    <w:rsid w:val="0046380A"/>
    <w:rsid w:val="00501D72"/>
    <w:rsid w:val="005E488F"/>
    <w:rsid w:val="006179F5"/>
    <w:rsid w:val="00633EFF"/>
    <w:rsid w:val="006F79BE"/>
    <w:rsid w:val="0074033B"/>
    <w:rsid w:val="0079130D"/>
    <w:rsid w:val="007B1589"/>
    <w:rsid w:val="007E4B35"/>
    <w:rsid w:val="0088364D"/>
    <w:rsid w:val="00930354"/>
    <w:rsid w:val="0094336F"/>
    <w:rsid w:val="0098513B"/>
    <w:rsid w:val="009D7B10"/>
    <w:rsid w:val="00A43F03"/>
    <w:rsid w:val="00AC6177"/>
    <w:rsid w:val="00AF1EDD"/>
    <w:rsid w:val="00AF72B0"/>
    <w:rsid w:val="00B11AFF"/>
    <w:rsid w:val="00B57BAB"/>
    <w:rsid w:val="00B65BD2"/>
    <w:rsid w:val="00B70733"/>
    <w:rsid w:val="00BA04A0"/>
    <w:rsid w:val="00C3559C"/>
    <w:rsid w:val="00C84333"/>
    <w:rsid w:val="00CF42DB"/>
    <w:rsid w:val="00D011C6"/>
    <w:rsid w:val="00D2294F"/>
    <w:rsid w:val="00D869E7"/>
    <w:rsid w:val="00D87A25"/>
    <w:rsid w:val="00DD11C6"/>
    <w:rsid w:val="00E61E04"/>
    <w:rsid w:val="00EE54EE"/>
    <w:rsid w:val="00F31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A056"/>
  <w15:chartTrackingRefBased/>
  <w15:docId w15:val="{9FE50C53-70E7-4AB5-9784-CBBB006A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33EF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33EF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33EF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33E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3E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3E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3E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3EF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33EF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33EF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33EF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33EF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33E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3E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3E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3EFF"/>
    <w:rPr>
      <w:rFonts w:eastAsiaTheme="majorEastAsia" w:cstheme="majorBidi"/>
      <w:color w:val="272727" w:themeColor="text1" w:themeTint="D8"/>
    </w:rPr>
  </w:style>
  <w:style w:type="paragraph" w:styleId="KonuBal">
    <w:name w:val="Title"/>
    <w:basedOn w:val="Normal"/>
    <w:next w:val="Normal"/>
    <w:link w:val="KonuBalChar"/>
    <w:uiPriority w:val="10"/>
    <w:qFormat/>
    <w:rsid w:val="006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3E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3E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3E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3E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3EFF"/>
    <w:rPr>
      <w:i/>
      <w:iCs/>
      <w:color w:val="404040" w:themeColor="text1" w:themeTint="BF"/>
    </w:rPr>
  </w:style>
  <w:style w:type="paragraph" w:styleId="ListeParagraf">
    <w:name w:val="List Paragraph"/>
    <w:basedOn w:val="Normal"/>
    <w:uiPriority w:val="34"/>
    <w:qFormat/>
    <w:rsid w:val="00633EFF"/>
    <w:pPr>
      <w:ind w:left="720"/>
      <w:contextualSpacing/>
    </w:pPr>
  </w:style>
  <w:style w:type="character" w:styleId="GlVurgulama">
    <w:name w:val="Intense Emphasis"/>
    <w:basedOn w:val="VarsaylanParagrafYazTipi"/>
    <w:uiPriority w:val="21"/>
    <w:qFormat/>
    <w:rsid w:val="00633EFF"/>
    <w:rPr>
      <w:i/>
      <w:iCs/>
      <w:color w:val="0F4761" w:themeColor="accent1" w:themeShade="BF"/>
    </w:rPr>
  </w:style>
  <w:style w:type="paragraph" w:styleId="GlAlnt">
    <w:name w:val="Intense Quote"/>
    <w:basedOn w:val="Normal"/>
    <w:next w:val="Normal"/>
    <w:link w:val="GlAlntChar"/>
    <w:uiPriority w:val="30"/>
    <w:qFormat/>
    <w:rsid w:val="006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33EFF"/>
    <w:rPr>
      <w:i/>
      <w:iCs/>
      <w:color w:val="0F4761" w:themeColor="accent1" w:themeShade="BF"/>
    </w:rPr>
  </w:style>
  <w:style w:type="character" w:styleId="GlBavuru">
    <w:name w:val="Intense Reference"/>
    <w:basedOn w:val="VarsaylanParagrafYazTipi"/>
    <w:uiPriority w:val="32"/>
    <w:qFormat/>
    <w:rsid w:val="00633EFF"/>
    <w:rPr>
      <w:b/>
      <w:bCs/>
      <w:smallCaps/>
      <w:color w:val="0F4761" w:themeColor="accent1" w:themeShade="BF"/>
      <w:spacing w:val="5"/>
    </w:rPr>
  </w:style>
  <w:style w:type="character" w:styleId="Kpr">
    <w:name w:val="Hyperlink"/>
    <w:basedOn w:val="VarsaylanParagrafYazTipi"/>
    <w:uiPriority w:val="99"/>
    <w:unhideWhenUsed/>
    <w:rsid w:val="005E488F"/>
    <w:rPr>
      <w:color w:val="467886" w:themeColor="hyperlink"/>
      <w:u w:val="single"/>
    </w:rPr>
  </w:style>
  <w:style w:type="character" w:styleId="zmlenmeyenBahsetme">
    <w:name w:val="Unresolved Mention"/>
    <w:basedOn w:val="VarsaylanParagrafYazTipi"/>
    <w:uiPriority w:val="99"/>
    <w:semiHidden/>
    <w:unhideWhenUsed/>
    <w:rsid w:val="005E488F"/>
    <w:rPr>
      <w:color w:val="605E5C"/>
      <w:shd w:val="clear" w:color="auto" w:fill="E1DFDD"/>
    </w:rPr>
  </w:style>
  <w:style w:type="paragraph" w:styleId="AralkYok">
    <w:name w:val="No Spacing"/>
    <w:link w:val="AralkYokChar"/>
    <w:uiPriority w:val="1"/>
    <w:qFormat/>
    <w:rsid w:val="00C84333"/>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C84333"/>
    <w:rPr>
      <w:rFonts w:eastAsiaTheme="minorEastAsia"/>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ctad.org/system/files/official-document/osginf2026d2_en.pdf" TargetMode="External"/><Relationship Id="rId5" Type="http://schemas.openxmlformats.org/officeDocument/2006/relationships/hyperlink" Target="https://www.bloomberght.com/vid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Yılı Türkiye Ekonomisi Analizi: 2026 Yılı Hedef ve Beklentileri</dc:title>
  <dc:subject/>
  <dc:creator>WK</dc:creator>
  <cp:keywords/>
  <dc:description/>
  <cp:lastModifiedBy>DELL</cp:lastModifiedBy>
  <cp:revision>2</cp:revision>
  <dcterms:created xsi:type="dcterms:W3CDTF">2026-06-10T10:56:00Z</dcterms:created>
  <dcterms:modified xsi:type="dcterms:W3CDTF">2026-06-10T10:56:00Z</dcterms:modified>
</cp:coreProperties>
</file>