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EC" w:rsidRPr="00BE05EC" w:rsidRDefault="00BE05EC" w:rsidP="00BE05EC">
      <w:pPr>
        <w:jc w:val="both"/>
        <w:rPr>
          <w:rFonts w:ascii="Times New Roman" w:hAnsi="Times New Roman" w:cs="Times New Roman"/>
          <w:b/>
          <w:sz w:val="24"/>
          <w:szCs w:val="24"/>
        </w:rPr>
      </w:pPr>
      <w:r w:rsidRPr="00BE05EC">
        <w:rPr>
          <w:rFonts w:ascii="Times New Roman" w:hAnsi="Times New Roman" w:cs="Times New Roman"/>
          <w:b/>
          <w:sz w:val="24"/>
          <w:szCs w:val="24"/>
        </w:rPr>
        <w:t>GENEL DESTEK PROGRAMINDAN YARARLANMA KOŞULU VE KABUL SÜRECİ</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 (1) Programdan yararlanmak isteyen işletmenin, Türk Ticaret Kanununda tanımlı gerçek veya tüzel kişi statüsünde olması, KOSGEB Veri Tabanında kayıtlı ve aktif durumda olması esastır.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(2) İşletme ve Kurum/Kuruluşlar, KOSGEB Veri Tabanına Kayıt Sürecine İlişkin Usul ve Esaslar çerçevesinde, www.kosgeb.gov.tr internet adresinden KOSGEB Veri Tabanına kaydını yapar.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 (3) İşletmenin desteklerden faydalanabilmesi için KOBİ Bilgi Beyannamesinin güncel olması gerekmektedir.</w:t>
      </w:r>
    </w:p>
    <w:p w:rsidR="00533C72" w:rsidRPr="00BE05EC" w:rsidRDefault="00533C72" w:rsidP="00BE05EC">
      <w:pPr>
        <w:jc w:val="both"/>
        <w:rPr>
          <w:rFonts w:ascii="Times New Roman" w:hAnsi="Times New Roman" w:cs="Times New Roman"/>
          <w:sz w:val="24"/>
          <w:szCs w:val="24"/>
        </w:rPr>
      </w:pPr>
      <w:r w:rsidRPr="00B26A0F">
        <w:rPr>
          <w:rFonts w:ascii="Times New Roman" w:hAnsi="Times New Roman" w:cs="Times New Roman"/>
          <w:sz w:val="24"/>
          <w:szCs w:val="24"/>
        </w:rPr>
        <w:t>(4) KOSGEB Veri Tabanında yer alan ve Programdan yararlanmak isteyen işletme, Genel Destek Programı Başvuru Formunu KOBİ Bilgi Sistemi üzerinden doldurarak başvurusunu onaylar.</w:t>
      </w:r>
    </w:p>
    <w:p w:rsidR="00533C72" w:rsidRPr="00BE05EC" w:rsidRDefault="00533C72" w:rsidP="00BE05EC">
      <w:pPr>
        <w:jc w:val="both"/>
        <w:rPr>
          <w:rFonts w:ascii="Times New Roman" w:hAnsi="Times New Roman" w:cs="Times New Roman"/>
          <w:sz w:val="24"/>
          <w:szCs w:val="24"/>
        </w:rPr>
      </w:pPr>
      <w:r w:rsidRPr="00B26A0F">
        <w:rPr>
          <w:rFonts w:ascii="Times New Roman" w:hAnsi="Times New Roman" w:cs="Times New Roman"/>
          <w:sz w:val="24"/>
          <w:szCs w:val="24"/>
        </w:rPr>
        <w:t>(5) Uygulama Birimi, işletmenin KOBİ Bilgi Beyannamesine ve aktif/pasif durumuna göre başvuruyu inceler. Başvurusu Uygulama Birimi tarafından onaylanan işletmenin KOBİ Bilgi Sistemi üzerinden Taahhütnamesini onaylanması gerekir. Taahhütnamenin işletme tarafından onaylanma süresi, Uygulama Birimi tarafından başvurunun onaylandığı tarihten itibaren 30 (otuz) gündür.</w:t>
      </w:r>
    </w:p>
    <w:p w:rsidR="00533C72" w:rsidRPr="00B26A0F" w:rsidRDefault="00533C72" w:rsidP="00BE05EC">
      <w:pPr>
        <w:jc w:val="both"/>
        <w:rPr>
          <w:rFonts w:ascii="Times New Roman" w:hAnsi="Times New Roman" w:cs="Times New Roman"/>
          <w:sz w:val="24"/>
          <w:szCs w:val="24"/>
        </w:rPr>
      </w:pPr>
      <w:r w:rsidRPr="00B26A0F">
        <w:rPr>
          <w:rFonts w:ascii="Times New Roman" w:hAnsi="Times New Roman" w:cs="Times New Roman"/>
          <w:sz w:val="24"/>
          <w:szCs w:val="24"/>
        </w:rPr>
        <w:t>(6) Taahhütnamenin işletme tarafından KOBİ Bilgi Sistemi üzerinden onaylandığı tarih, programın başlangıç tarihi olarak kabul edilir.</w:t>
      </w:r>
    </w:p>
    <w:p w:rsidR="00BE05EC" w:rsidRPr="00BE05EC" w:rsidRDefault="00BE05EC" w:rsidP="00BE05EC">
      <w:pPr>
        <w:rPr>
          <w:rFonts w:ascii="Times New Roman" w:hAnsi="Times New Roman" w:cs="Times New Roman"/>
          <w:b/>
          <w:sz w:val="24"/>
          <w:szCs w:val="24"/>
        </w:rPr>
      </w:pPr>
      <w:bookmarkStart w:id="0" w:name="_GoBack"/>
      <w:bookmarkEnd w:id="0"/>
      <w:r w:rsidRPr="00BE05EC">
        <w:rPr>
          <w:rFonts w:ascii="Times New Roman" w:hAnsi="Times New Roman" w:cs="Times New Roman"/>
          <w:b/>
          <w:sz w:val="24"/>
          <w:szCs w:val="24"/>
        </w:rPr>
        <w:t>PROGRAMIN SÜRESİ</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 (1) Programın süresi, </w:t>
      </w:r>
      <w:r w:rsidRPr="00BE05EC">
        <w:rPr>
          <w:rFonts w:ascii="Times New Roman" w:hAnsi="Times New Roman" w:cs="Times New Roman"/>
          <w:b/>
          <w:sz w:val="24"/>
          <w:szCs w:val="24"/>
        </w:rPr>
        <w:t>her bir işletme için 3 (üç) yıldır.</w:t>
      </w:r>
      <w:r w:rsidRPr="00BE05EC">
        <w:rPr>
          <w:rFonts w:ascii="Times New Roman" w:hAnsi="Times New Roman" w:cs="Times New Roman"/>
          <w:sz w:val="24"/>
          <w:szCs w:val="24"/>
        </w:rPr>
        <w:t xml:space="preserve"> Bu süre bitmeden Program tamamlanmış sayılmaz. Üç yıllık Program süresi tamamlandıktan sonra, işletmenin talebi halinde Program yeniden başlatılabilir. Bu durumda önceki Program kapsamında işletmeye kullandırılan destek miktarları dikkate alınmaz.</w:t>
      </w:r>
    </w:p>
    <w:p w:rsidR="00F74FB9" w:rsidRDefault="00F74FB9" w:rsidP="00BE05EC">
      <w:pPr>
        <w:rPr>
          <w:rFonts w:ascii="Times New Roman" w:hAnsi="Times New Roman" w:cs="Times New Roman"/>
          <w:b/>
          <w:sz w:val="24"/>
          <w:szCs w:val="24"/>
        </w:rPr>
        <w:sectPr w:rsidR="00F74FB9">
          <w:pgSz w:w="11906" w:h="16838"/>
          <w:pgMar w:top="1417" w:right="1417" w:bottom="1417" w:left="1417" w:header="708" w:footer="708" w:gutter="0"/>
          <w:cols w:space="708"/>
          <w:docGrid w:linePitch="360"/>
        </w:sectPr>
      </w:pPr>
    </w:p>
    <w:p w:rsidR="00BE05EC" w:rsidRPr="00BE05EC" w:rsidRDefault="00BE05EC" w:rsidP="00BE05EC">
      <w:pPr>
        <w:rPr>
          <w:rFonts w:ascii="Times New Roman" w:hAnsi="Times New Roman" w:cs="Times New Roman"/>
          <w:b/>
          <w:sz w:val="24"/>
          <w:szCs w:val="24"/>
        </w:rPr>
      </w:pPr>
      <w:r w:rsidRPr="00BE05EC">
        <w:rPr>
          <w:rFonts w:ascii="Times New Roman" w:hAnsi="Times New Roman" w:cs="Times New Roman"/>
          <w:b/>
          <w:sz w:val="24"/>
          <w:szCs w:val="24"/>
        </w:rPr>
        <w:lastRenderedPageBreak/>
        <w:t>PROGRAM KAPSAMINDAKİ DESTEKLERİN ÜST LİMİT VE ORANLARI</w:t>
      </w:r>
    </w:p>
    <w:p w:rsidR="00BE05EC" w:rsidRPr="00BE05EC" w:rsidRDefault="00BE05EC" w:rsidP="00BE05EC">
      <w:pPr>
        <w:rPr>
          <w:rFonts w:ascii="Times New Roman" w:hAnsi="Times New Roman" w:cs="Times New Roman"/>
          <w:sz w:val="24"/>
          <w:szCs w:val="24"/>
        </w:rPr>
      </w:pPr>
      <w:r w:rsidRPr="00BE05EC">
        <w:rPr>
          <w:rFonts w:ascii="Times New Roman" w:hAnsi="Times New Roman" w:cs="Times New Roman"/>
          <w:sz w:val="24"/>
          <w:szCs w:val="24"/>
        </w:rPr>
        <w:t xml:space="preserve"> (1) Program kapsamında sağlanacak desteklerin oranı </w:t>
      </w:r>
      <w:r w:rsidRPr="00BE05EC">
        <w:rPr>
          <w:rFonts w:ascii="Times New Roman" w:hAnsi="Times New Roman" w:cs="Times New Roman"/>
          <w:b/>
          <w:sz w:val="24"/>
          <w:szCs w:val="24"/>
        </w:rPr>
        <w:t xml:space="preserve">1. bölgede % 50 (elli), 2., 3. ve 4. bölgelerde % 60 (altmış), 5. ve 6. bölgelerde % 70 (yetmiş) </w:t>
      </w:r>
      <w:r w:rsidRPr="00BE05EC">
        <w:rPr>
          <w:rFonts w:ascii="Times New Roman" w:hAnsi="Times New Roman" w:cs="Times New Roman"/>
          <w:sz w:val="24"/>
          <w:szCs w:val="24"/>
        </w:rPr>
        <w:t xml:space="preserve">olarak uygulanır. </w:t>
      </w:r>
    </w:p>
    <w:p w:rsidR="00BE05EC" w:rsidRPr="00BE05EC" w:rsidRDefault="00BE05EC" w:rsidP="00BE05EC">
      <w:pPr>
        <w:jc w:val="both"/>
        <w:rPr>
          <w:rFonts w:ascii="Times New Roman" w:hAnsi="Times New Roman" w:cs="Times New Roman"/>
          <w:b/>
          <w:sz w:val="24"/>
          <w:szCs w:val="24"/>
        </w:rPr>
      </w:pPr>
      <w:r w:rsidRPr="00BE05EC">
        <w:rPr>
          <w:rFonts w:ascii="Times New Roman" w:hAnsi="Times New Roman" w:cs="Times New Roman"/>
          <w:b/>
          <w:sz w:val="24"/>
          <w:szCs w:val="24"/>
        </w:rPr>
        <w:t>EĞİTİM DESTEĞİ</w:t>
      </w:r>
    </w:p>
    <w:p w:rsidR="00BE05EC" w:rsidRPr="00BE05EC" w:rsidRDefault="00BE05EC" w:rsidP="00BE05EC">
      <w:pPr>
        <w:jc w:val="both"/>
        <w:rPr>
          <w:rFonts w:ascii="Times New Roman" w:hAnsi="Times New Roman" w:cs="Times New Roman"/>
          <w:b/>
          <w:sz w:val="24"/>
          <w:szCs w:val="24"/>
        </w:rPr>
      </w:pPr>
      <w:r w:rsidRPr="00BE05EC">
        <w:rPr>
          <w:rFonts w:ascii="Times New Roman" w:hAnsi="Times New Roman" w:cs="Times New Roman"/>
          <w:b/>
          <w:sz w:val="24"/>
          <w:szCs w:val="24"/>
        </w:rPr>
        <w:t>Destek Unsurları</w:t>
      </w:r>
    </w:p>
    <w:p w:rsidR="00BE05EC" w:rsidRPr="00BE05EC" w:rsidRDefault="00BE05EC" w:rsidP="00BE05EC">
      <w:pPr>
        <w:jc w:val="both"/>
        <w:rPr>
          <w:rFonts w:ascii="Times New Roman" w:hAnsi="Times New Roman" w:cs="Times New Roman"/>
          <w:sz w:val="24"/>
          <w:szCs w:val="24"/>
        </w:rPr>
      </w:pPr>
      <w:r>
        <w:rPr>
          <w:rFonts w:ascii="Times New Roman" w:hAnsi="Times New Roman" w:cs="Times New Roman"/>
          <w:sz w:val="24"/>
          <w:szCs w:val="24"/>
        </w:rPr>
        <w:t xml:space="preserve">(1) İşletmelerin; </w:t>
      </w:r>
      <w:r w:rsidRPr="00BE05EC">
        <w:rPr>
          <w:rFonts w:ascii="Times New Roman" w:hAnsi="Times New Roman" w:cs="Times New Roman"/>
          <w:sz w:val="24"/>
          <w:szCs w:val="24"/>
        </w:rPr>
        <w:t>Genel Yönetim, Pazarlama Yönetimi, Üretim Yönetimi, İnsan Kaynakları Yönetimi, Mali İşler ve Finansman Yönetimi, Dış Ticaret ve Uluslararası Mevzuat, Bilgisayar ve Bilgi Teknolojileri, Enerji Teknolojileri, Yeni Teknik ve Teknolojiler, Yenilik, Mesleki ve Teknik Eğitim, CE İşareti, Ürün Belgelendirme ve Çevre konu başlıklarında genel katılıma açık veya işletme içi eğit</w:t>
      </w:r>
      <w:r>
        <w:rPr>
          <w:rFonts w:ascii="Times New Roman" w:hAnsi="Times New Roman" w:cs="Times New Roman"/>
          <w:sz w:val="24"/>
          <w:szCs w:val="24"/>
        </w:rPr>
        <w:t xml:space="preserve">im katılımlarına destek verilir. </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(2) TS-ISO 9000, TS-ISO 14000, TS-ISO 22000, AQAP, EN 17025 ve benzeri sistem belgelendirmeye yönelik eğitim hizmetleri ve yabancı dil eğitimleri bu destek kapsamı dışındadır.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(3) Eğitim hizmeti alınabilecek kuruluşlar; üniversiteler, üniversitelerin işletmelere yönelik eğitim hizmeti vermek amacıyla kurulmuş birimleri, kuruluş mevzuatlarının izin vermesi şartıyla kamu kurum/kuruluşları, bunların eğitim hizmeti vermek amacıyla kurulmuş birimleri ve meslek kuruluşları, 5580 Sayılı Özel Öğretim Kurumları Kanunu kapsamında kurum açma iznine sahip, alanında program onayı olan kurum/kuruluşlar ile Türk Akreditasyon Kurumu (TÜRKAK) tarafından herhangi bir konuda akredite edilen </w:t>
      </w:r>
      <w:r>
        <w:rPr>
          <w:rFonts w:ascii="Times New Roman" w:hAnsi="Times New Roman" w:cs="Times New Roman"/>
          <w:sz w:val="24"/>
          <w:szCs w:val="24"/>
        </w:rPr>
        <w:t>belgelendirme kuruluşlarıdır.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(4) Eğitime katılacak işletme temsilcileri; işletme sahibi, ortağı veya çalışanı olmalıdır.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(5) Her bir konu başlığı altında alınan her bir eğitim için bir işletmeye sağlanacak desteğin üst limiti </w:t>
      </w:r>
      <w:r w:rsidRPr="00BE05EC">
        <w:rPr>
          <w:rFonts w:ascii="Times New Roman" w:hAnsi="Times New Roman" w:cs="Times New Roman"/>
          <w:b/>
          <w:sz w:val="24"/>
          <w:szCs w:val="24"/>
        </w:rPr>
        <w:t>2.500 (ikibinbeşyüz) TL’yi</w:t>
      </w:r>
      <w:r w:rsidRPr="00BE05EC">
        <w:rPr>
          <w:rFonts w:ascii="Times New Roman" w:hAnsi="Times New Roman" w:cs="Times New Roman"/>
          <w:sz w:val="24"/>
          <w:szCs w:val="24"/>
        </w:rPr>
        <w:t xml:space="preserve"> geçemez. Program süresince bir konu başlığı altında alınan eğitimler için verilen toplam destek üst limiti </w:t>
      </w:r>
      <w:r w:rsidRPr="00BE05EC">
        <w:rPr>
          <w:rFonts w:ascii="Times New Roman" w:hAnsi="Times New Roman" w:cs="Times New Roman"/>
          <w:b/>
          <w:sz w:val="24"/>
          <w:szCs w:val="24"/>
        </w:rPr>
        <w:t>7.500 (yedibinbeşyüz) TL’dir.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(6) Eğitim Desteği, yalnızca eğitim bedelini kapsar. İaşe, konaklama ve ulaşım giderlerinikapsamaz.</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(7) Eğitime katılacak işletme temsilcileri; işletme sahibi, ortağı veya çalışanı olmalıdır. İşletme personelinin eğitime katılımında sayı açısından bir sınırlama bulunmamaktadır.</w:t>
      </w:r>
    </w:p>
    <w:p w:rsidR="00BE05EC" w:rsidRPr="00BE05EC" w:rsidRDefault="00BE05EC" w:rsidP="00BE05EC">
      <w:pPr>
        <w:jc w:val="both"/>
        <w:rPr>
          <w:rFonts w:ascii="Times New Roman" w:hAnsi="Times New Roman" w:cs="Times New Roman"/>
          <w:sz w:val="24"/>
          <w:szCs w:val="24"/>
        </w:rPr>
      </w:pPr>
      <w:r w:rsidRPr="00BE05EC">
        <w:rPr>
          <w:rFonts w:ascii="Times New Roman" w:hAnsi="Times New Roman" w:cs="Times New Roman"/>
          <w:sz w:val="24"/>
          <w:szCs w:val="24"/>
        </w:rPr>
        <w:t xml:space="preserve">(8) Program süresince desteğin üst limiti </w:t>
      </w:r>
      <w:r w:rsidRPr="00BE05EC">
        <w:rPr>
          <w:rFonts w:ascii="Times New Roman" w:hAnsi="Times New Roman" w:cs="Times New Roman"/>
          <w:b/>
          <w:sz w:val="24"/>
          <w:szCs w:val="24"/>
        </w:rPr>
        <w:t>20.000 (yirmibin) TL’dir.</w:t>
      </w:r>
    </w:p>
    <w:p w:rsidR="001810D3" w:rsidRPr="00BE05EC" w:rsidRDefault="002222CA" w:rsidP="00BE05EC">
      <w:pPr>
        <w:jc w:val="both"/>
        <w:rPr>
          <w:rFonts w:ascii="Times New Roman" w:hAnsi="Times New Roman" w:cs="Times New Roman"/>
          <w:sz w:val="24"/>
          <w:szCs w:val="24"/>
        </w:rPr>
      </w:pPr>
    </w:p>
    <w:sectPr w:rsidR="001810D3" w:rsidRPr="00BE05EC" w:rsidSect="009C25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E05EC"/>
    <w:rsid w:val="001470B7"/>
    <w:rsid w:val="002222CA"/>
    <w:rsid w:val="002837AD"/>
    <w:rsid w:val="003A1108"/>
    <w:rsid w:val="00533C72"/>
    <w:rsid w:val="005E20B2"/>
    <w:rsid w:val="007F709F"/>
    <w:rsid w:val="009C2554"/>
    <w:rsid w:val="00B26A0F"/>
    <w:rsid w:val="00BE05EC"/>
    <w:rsid w:val="00F74F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05E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burcu.haksoz</dc:creator>
  <cp:lastModifiedBy>Hp</cp:lastModifiedBy>
  <cp:revision>2</cp:revision>
  <dcterms:created xsi:type="dcterms:W3CDTF">2018-09-10T12:06:00Z</dcterms:created>
  <dcterms:modified xsi:type="dcterms:W3CDTF">2018-09-10T12:06:00Z</dcterms:modified>
</cp:coreProperties>
</file>